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ind w:left="142" w:right="394" w:firstLine="0"/>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23 (HMRC Terms)</w:t>
      </w:r>
    </w:p>
    <w:p w:rsidR="00000000" w:rsidDel="00000000" w:rsidP="00000000" w:rsidRDefault="00000000" w:rsidRPr="00000000" w14:paraId="00000002">
      <w:pPr>
        <w:pStyle w:val="Heading2"/>
        <w:keepNext w:val="0"/>
        <w:keepLines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3">
      <w:pPr>
        <w:keepNext w:val="1"/>
        <w:numPr>
          <w:ilvl w:val="1"/>
          <w:numId w:val="6"/>
        </w:numPr>
        <w:pBdr>
          <w:top w:space="0" w:sz="0" w:val="nil"/>
          <w:left w:space="0" w:sz="0" w:val="nil"/>
          <w:bottom w:space="0" w:sz="0" w:val="nil"/>
          <w:right w:space="0" w:sz="0" w:val="nil"/>
          <w:between w:space="0" w:sz="0" w:val="nil"/>
        </w:pBdr>
        <w:tabs>
          <w:tab w:val="left" w:leader="none" w:pos="993"/>
        </w:tabs>
        <w:spacing w:after="240" w:line="240" w:lineRule="auto"/>
        <w:ind w:left="792" w:hanging="43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have the following meanings and they shall supplement Joint Schedule 1 (Definitions):</w:t>
      </w:r>
    </w:p>
    <w:tbl>
      <w:tblPr>
        <w:tblStyle w:val="Table1"/>
        <w:tblW w:w="8918.0" w:type="dxa"/>
        <w:jc w:val="left"/>
        <w:tblInd w:w="-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92"/>
        <w:gridCol w:w="6626"/>
        <w:tblGridChange w:id="0">
          <w:tblGrid>
            <w:gridCol w:w="2292"/>
            <w:gridCol w:w="6626"/>
          </w:tblGrid>
        </w:tblGridChange>
      </w:tblGrid>
      <w:tr>
        <w:trPr>
          <w:cantSplit w:val="0"/>
          <w:tblHeader w:val="0"/>
        </w:trPr>
        <w:tc>
          <w:tcPr/>
          <w:p w:rsidR="00000000" w:rsidDel="00000000" w:rsidP="00000000" w:rsidRDefault="00000000" w:rsidRPr="00000000" w14:paraId="00000004">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“Connected Company”</w:t>
            </w:r>
          </w:p>
        </w:tc>
        <w:tc>
          <w:tcPr/>
          <w:p w:rsidR="00000000" w:rsidDel="00000000" w:rsidP="00000000" w:rsidRDefault="00000000" w:rsidRPr="00000000" w14:paraId="0000000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06">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7">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0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000000" w:rsidDel="00000000" w:rsidP="00000000" w:rsidRDefault="00000000" w:rsidRPr="00000000" w14:paraId="00000009">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Transaction”</w:t>
            </w:r>
          </w:p>
        </w:tc>
        <w:tc>
          <w:tcPr/>
          <w:p w:rsidR="00000000" w:rsidDel="00000000" w:rsidP="00000000" w:rsidRDefault="00000000" w:rsidRPr="00000000" w14:paraId="0000000B">
            <w:pPr>
              <w:numPr>
                <w:ilvl w:val="0"/>
                <w:numId w:val="7"/>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numPr>
                <w:ilvl w:val="0"/>
                <w:numId w:val="7"/>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would be payable by any Key Subcontractor and its Connected Companies on or in connection with payments made by or on behalf of the Supplier under or pursuant to the applicable Key Subcontract,</w:t>
            </w:r>
          </w:p>
          <w:p w:rsidR="00000000" w:rsidDel="00000000" w:rsidP="00000000" w:rsidRDefault="00000000" w:rsidRPr="00000000" w14:paraId="0000000E">
            <w:p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F">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p w:rsidR="00000000" w:rsidDel="00000000" w:rsidP="00000000" w:rsidRDefault="00000000" w:rsidRPr="00000000" w14:paraId="00000010">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1">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“Purchase Order Number” </w:t>
            </w:r>
          </w:p>
        </w:tc>
        <w:tc>
          <w:tcPr/>
          <w:p w:rsidR="00000000" w:rsidDel="00000000" w:rsidP="00000000" w:rsidRDefault="00000000" w:rsidRPr="00000000" w14:paraId="00000012">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Buyer’s unique number relating to the supply of the Deliverables;  </w:t>
            </w:r>
          </w:p>
        </w:tc>
      </w:tr>
      <w:tr>
        <w:trPr>
          <w:cantSplit w:val="0"/>
          <w:tblHeader w:val="0"/>
        </w:trPr>
        <w:tc>
          <w:tcPr/>
          <w:p w:rsidR="00000000" w:rsidDel="00000000" w:rsidP="00000000" w:rsidRDefault="00000000" w:rsidRPr="00000000" w14:paraId="00000013">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14">
            <w:pPr>
              <w:spacing w:after="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verify the accuracy of any invoice; and</w:t>
            </w:r>
          </w:p>
        </w:tc>
      </w:tr>
      <w:tr>
        <w:trPr>
          <w:cantSplit w:val="0"/>
          <w:tblHeader w:val="0"/>
        </w:trPr>
        <w:tc>
          <w:tcPr/>
          <w:p w:rsidR="00000000" w:rsidDel="00000000" w:rsidP="00000000" w:rsidRDefault="00000000" w:rsidRPr="00000000" w14:paraId="00000015">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Compliance Failure”</w:t>
            </w:r>
          </w:p>
          <w:p w:rsidR="00000000" w:rsidDel="00000000" w:rsidP="00000000" w:rsidRDefault="00000000" w:rsidRPr="00000000" w14:paraId="00000016">
            <w:pPr>
              <w:spacing w:after="240" w:line="240" w:lineRule="auto"/>
              <w:ind w:left="2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7">
            <w:pPr>
              <w:tabs>
                <w:tab w:val="left" w:leader="none" w:pos="-75"/>
              </w:tabs>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8">
            <w:pPr>
              <w:numPr>
                <w:ilvl w:val="0"/>
                <w:numId w:val="5"/>
              </w:numPr>
              <w:pBdr>
                <w:top w:space="0" w:sz="0" w:val="nil"/>
                <w:left w:space="0" w:sz="0" w:val="nil"/>
                <w:bottom w:space="0" w:sz="0" w:val="nil"/>
                <w:right w:space="0" w:sz="0" w:val="nil"/>
                <w:between w:space="0" w:sz="0" w:val="nil"/>
              </w:pBdr>
              <w:tabs>
                <w:tab w:val="left" w:leader="none" w:pos="-75"/>
              </w:tabs>
              <w:spacing w:after="0" w:line="240" w:lineRule="auto"/>
              <w:ind w:left="405"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“Economic Operator” means the Supplier or any agent, supplier or Subcontractor of the Supplier requested to be replaced pursuant to Paragraph 5.3; and </w:t>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240" w:lineRule="auto"/>
              <w:ind w:left="405"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A">
            <w:pPr>
              <w:numPr>
                <w:ilvl w:val="0"/>
                <w:numId w:val="5"/>
              </w:numPr>
              <w:pBdr>
                <w:top w:space="0" w:sz="0" w:val="nil"/>
                <w:left w:space="0" w:sz="0" w:val="nil"/>
                <w:bottom w:space="0" w:sz="0" w:val="nil"/>
                <w:right w:space="0" w:sz="0" w:val="nil"/>
                <w:between w:space="0" w:sz="0" w:val="nil"/>
              </w:pBdr>
              <w:spacing w:after="240" w:line="240" w:lineRule="auto"/>
              <w:ind w:left="405"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“Essential Subcontractor” means any Key Subcontractor.</w:t>
            </w:r>
          </w:p>
        </w:tc>
      </w:tr>
    </w:tbl>
    <w:p w:rsidR="00000000" w:rsidDel="00000000" w:rsidP="00000000" w:rsidRDefault="00000000" w:rsidRPr="00000000" w14:paraId="0000001B">
      <w:pPr>
        <w:pStyle w:val="Heading2"/>
        <w:keepNext w:val="0"/>
        <w:keepLines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bookmarkStart w:colFirst="0" w:colLast="0" w:name="_heading=h.30j0zll" w:id="1"/>
      <w:bookmarkEnd w:id="1"/>
      <w:r w:rsidDel="00000000" w:rsidR="00000000" w:rsidRPr="00000000">
        <w:rPr>
          <w:rFonts w:ascii="Arial" w:cs="Arial" w:eastAsia="Arial" w:hAnsi="Arial"/>
          <w:b w:val="1"/>
          <w:color w:val="000000"/>
          <w:sz w:val="24"/>
          <w:szCs w:val="24"/>
          <w:rtl w:val="0"/>
        </w:rPr>
        <w:t xml:space="preserve">Exclusion of certain Core Terms and terms of Schedules</w:t>
      </w:r>
    </w:p>
    <w:p w:rsidR="00000000" w:rsidDel="00000000" w:rsidP="00000000" w:rsidRDefault="00000000" w:rsidRPr="00000000" w14:paraId="0000001C">
      <w:pPr>
        <w:pStyle w:val="Heading2"/>
        <w:keepNext w:val="0"/>
        <w:keepLines w:val="0"/>
        <w:numPr>
          <w:ilvl w:val="1"/>
          <w:numId w:val="6"/>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Core Terms are modified in respect of that Call-Off Contract (but are not modified in respect of the Framework Contract):</w:t>
      </w:r>
    </w:p>
    <w:p w:rsidR="00000000" w:rsidDel="00000000" w:rsidP="00000000" w:rsidRDefault="00000000" w:rsidRPr="00000000" w14:paraId="0000001D">
      <w:pPr>
        <w:spacing w:after="0" w:lineRule="auto"/>
        <w:rPr/>
      </w:pPr>
      <w:r w:rsidDel="00000000" w:rsidR="00000000" w:rsidRPr="00000000">
        <w:rPr>
          <w:rtl w:val="0"/>
        </w:rPr>
      </w:r>
    </w:p>
    <w:p w:rsidR="00000000" w:rsidDel="00000000" w:rsidP="00000000" w:rsidRDefault="00000000" w:rsidRPr="00000000" w14:paraId="0000001E">
      <w:pPr>
        <w:pStyle w:val="Heading2"/>
        <w:keepNext w:val="0"/>
        <w:keepLines w:val="0"/>
        <w:numPr>
          <w:ilvl w:val="2"/>
          <w:numId w:val="6"/>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Clauses 31.1, 31.2, 31.3 and 31.4(d) of the Core Terms do not apply to that Call-Off Contract, but for the avoidance of doubt, the remainder of Clause 31.4 of the Core Terms shall continue to apply to the Call-Off Contract; and</w:t>
      </w:r>
    </w:p>
    <w:p w:rsidR="00000000" w:rsidDel="00000000" w:rsidP="00000000" w:rsidRDefault="00000000" w:rsidRPr="00000000" w14:paraId="0000001F">
      <w:pPr>
        <w:pStyle w:val="Heading2"/>
        <w:keepNext w:val="0"/>
        <w:keepLines w:val="0"/>
        <w:numPr>
          <w:ilvl w:val="2"/>
          <w:numId w:val="6"/>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Clause 7.2 of the Core Terms does not apply to that Call-Off Contract.</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pStyle w:val="Heading2"/>
        <w:keepNext w:val="0"/>
        <w:keepLines w:val="0"/>
        <w:numPr>
          <w:ilvl w:val="1"/>
          <w:numId w:val="6"/>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Joint Schedules are modified in respect of that Call-Off Contract (but are not disapplied in respect of the Framework Contract):</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pStyle w:val="Heading2"/>
        <w:keepNext w:val="0"/>
        <w:keepLines w:val="0"/>
        <w:numPr>
          <w:ilvl w:val="2"/>
          <w:numId w:val="6"/>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definition of “Occasion of Tax Non-Compliance” contained in Joint Schedule 1 (Definitions) does not apply to that Call-Off Contract; and</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pStyle w:val="Heading2"/>
        <w:keepNext w:val="0"/>
        <w:keepLines w:val="0"/>
        <w:numPr>
          <w:ilvl w:val="2"/>
          <w:numId w:val="6"/>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5(d) of Joint Schedule 11 (Processing Data) does not apply to that Call-Off Contract.</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pStyle w:val="Heading2"/>
        <w:keepNext w:val="0"/>
        <w:keepLines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Charges, Payment and Recovery of Sums Due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8">
      <w:pPr>
        <w:pStyle w:val="Heading2"/>
        <w:keepNext w:val="0"/>
        <w:keepLines w:val="0"/>
        <w:numPr>
          <w:ilvl w:val="1"/>
          <w:numId w:val="6"/>
        </w:numPr>
        <w:spacing w:line="240" w:lineRule="auto"/>
        <w:ind w:left="792" w:hanging="432"/>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Supplier shall invoice the Buyer as specified in Clause 4 of the Core Terms as modified by any Framework Special Terms or any Call-Off Special Terms. </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pStyle w:val="Heading2"/>
        <w:keepNext w:val="0"/>
        <w:keepLines w:val="0"/>
        <w:numPr>
          <w:ilvl w:val="1"/>
          <w:numId w:val="6"/>
        </w:numPr>
        <w:spacing w:after="240" w:before="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the provisions of Clause 4 of the Core Terms and any applicable Framework Special Term or Call-Off Special Term, the Supplier shall procure a Purchase Order Number from the Buyer before any Deliverables are supplied. Should the Supplier supply Deliverables without a Purchase Order Number: </w:t>
      </w:r>
    </w:p>
    <w:p w:rsidR="00000000" w:rsidDel="00000000" w:rsidP="00000000" w:rsidRDefault="00000000" w:rsidRPr="00000000" w14:paraId="0000002B">
      <w:pPr>
        <w:pStyle w:val="Heading2"/>
        <w:keepNext w:val="0"/>
        <w:keepLines w:val="0"/>
        <w:numPr>
          <w:ilvl w:val="2"/>
          <w:numId w:val="6"/>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does so at its own risk; and</w:t>
      </w:r>
    </w:p>
    <w:p w:rsidR="00000000" w:rsidDel="00000000" w:rsidP="00000000" w:rsidRDefault="00000000" w:rsidRPr="00000000" w14:paraId="0000002C">
      <w:pPr>
        <w:pStyle w:val="Heading2"/>
        <w:keepNext w:val="0"/>
        <w:keepLines w:val="0"/>
        <w:numPr>
          <w:ilvl w:val="2"/>
          <w:numId w:val="6"/>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 be obliged to pay any invoice without a valid Purchase Order Number having been provided to the Supplier.</w:t>
      </w:r>
    </w:p>
    <w:p w:rsidR="00000000" w:rsidDel="00000000" w:rsidP="00000000" w:rsidRDefault="00000000" w:rsidRPr="00000000" w14:paraId="0000002D">
      <w:pPr>
        <w:pStyle w:val="Heading2"/>
        <w:keepNext w:val="0"/>
        <w:keepLines w:val="0"/>
        <w:numPr>
          <w:ilvl w:val="1"/>
          <w:numId w:val="6"/>
        </w:numPr>
        <w:spacing w:after="240" w:before="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submit each invoice and any Supporting Documentation required in accordance with Clause 4 of the Core Terms and any applicable Framework Special Term or Call-Off Special Term, as directed by the Buyer from time to time, either: </w:t>
      </w:r>
      <w:r w:rsidDel="00000000" w:rsidR="00000000" w:rsidRPr="00000000">
        <w:rPr>
          <w:rtl w:val="0"/>
        </w:rPr>
      </w:r>
    </w:p>
    <w:p w:rsidR="00000000" w:rsidDel="00000000" w:rsidP="00000000" w:rsidRDefault="00000000" w:rsidRPr="00000000" w14:paraId="0000002E">
      <w:pPr>
        <w:pStyle w:val="Heading2"/>
        <w:keepNext w:val="0"/>
        <w:keepLines w:val="0"/>
        <w:numPr>
          <w:ilvl w:val="2"/>
          <w:numId w:val="6"/>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via the Buyer ’s electronic transaction system as an Electronic Invoice; or </w:t>
      </w:r>
      <w:r w:rsidDel="00000000" w:rsidR="00000000" w:rsidRPr="00000000">
        <w:rPr>
          <w:rtl w:val="0"/>
        </w:rPr>
      </w:r>
    </w:p>
    <w:p w:rsidR="00000000" w:rsidDel="00000000" w:rsidP="00000000" w:rsidRDefault="00000000" w:rsidRPr="00000000" w14:paraId="0000002F">
      <w:pPr>
        <w:pStyle w:val="Heading2"/>
        <w:keepNext w:val="0"/>
        <w:keepLines w:val="0"/>
        <w:numPr>
          <w:ilvl w:val="2"/>
          <w:numId w:val="6"/>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highlight w:val="yellow"/>
          <w:rtl w:val="0"/>
        </w:rPr>
        <w:t xml:space="preserve">specify who the contact in HMRC is]</w:t>
      </w:r>
      <w:r w:rsidDel="00000000" w:rsidR="00000000" w:rsidRPr="00000000">
        <w:rPr>
          <w:rFonts w:ascii="Arial" w:cs="Arial" w:eastAsia="Arial" w:hAnsi="Arial"/>
          <w:color w:val="000000"/>
          <w:sz w:val="24"/>
          <w:szCs w:val="24"/>
          <w:rtl w:val="0"/>
        </w:rPr>
        <w:t xml:space="preserve"> (or such other person notified to the Supplier in writing by the Buyer) by email in pdf format or, if agreed with the Buyer, in hard copy by post.</w:t>
      </w:r>
      <w:r w:rsidDel="00000000" w:rsidR="00000000" w:rsidRPr="00000000">
        <w:rPr>
          <w:rtl w:val="0"/>
        </w:rPr>
      </w:r>
    </w:p>
    <w:p w:rsidR="00000000" w:rsidDel="00000000" w:rsidP="00000000" w:rsidRDefault="00000000" w:rsidRPr="00000000" w14:paraId="00000030">
      <w:pPr>
        <w:pStyle w:val="Heading2"/>
        <w:keepNext w:val="0"/>
        <w:keepLines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Warranties</w:t>
      </w:r>
      <w:r w:rsidDel="00000000" w:rsidR="00000000" w:rsidRPr="00000000">
        <w:rPr>
          <w:rtl w:val="0"/>
        </w:rPr>
      </w:r>
    </w:p>
    <w:p w:rsidR="00000000" w:rsidDel="00000000" w:rsidP="00000000" w:rsidRDefault="00000000" w:rsidRPr="00000000" w14:paraId="00000031">
      <w:pPr>
        <w:pStyle w:val="Heading2"/>
        <w:keepNext w:val="0"/>
        <w:keepLines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represents and warrants that:</w:t>
      </w:r>
      <w:r w:rsidDel="00000000" w:rsidR="00000000" w:rsidRPr="00000000">
        <w:rPr>
          <w:rtl w:val="0"/>
        </w:rPr>
      </w:r>
    </w:p>
    <w:p w:rsidR="00000000" w:rsidDel="00000000" w:rsidP="00000000" w:rsidRDefault="00000000" w:rsidRPr="00000000" w14:paraId="00000032">
      <w:pPr>
        <w:pStyle w:val="Heading2"/>
        <w:keepNext w:val="0"/>
        <w:keepLines w:val="0"/>
        <w:numPr>
          <w:ilvl w:val="2"/>
          <w:numId w:val="6"/>
        </w:numPr>
        <w:spacing w:after="240" w:before="0" w:line="240" w:lineRule="auto"/>
        <w:ind w:left="1418" w:hanging="698"/>
        <w:jc w:val="both"/>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033">
      <w:pPr>
        <w:pStyle w:val="Heading2"/>
        <w:keepNext w:val="0"/>
        <w:keepLines w:val="0"/>
        <w:numPr>
          <w:ilvl w:val="2"/>
          <w:numId w:val="6"/>
        </w:numPr>
        <w:spacing w:after="240" w:before="0" w:line="240" w:lineRule="auto"/>
        <w:ind w:left="1418" w:hanging="698"/>
        <w:jc w:val="both"/>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it has notified the Buyer in writing of any Tax Compliance Failure it is involved in; and</w:t>
      </w:r>
      <w:r w:rsidDel="00000000" w:rsidR="00000000" w:rsidRPr="00000000">
        <w:rPr>
          <w:rtl w:val="0"/>
        </w:rPr>
      </w:r>
    </w:p>
    <w:p w:rsidR="00000000" w:rsidDel="00000000" w:rsidP="00000000" w:rsidRDefault="00000000" w:rsidRPr="00000000" w14:paraId="00000034">
      <w:pPr>
        <w:pStyle w:val="Heading2"/>
        <w:keepNext w:val="0"/>
        <w:keepLines w:val="0"/>
        <w:numPr>
          <w:ilvl w:val="2"/>
          <w:numId w:val="6"/>
        </w:numPr>
        <w:spacing w:after="240" w:before="0" w:line="240" w:lineRule="auto"/>
        <w:ind w:left="1418" w:hanging="698"/>
        <w:jc w:val="both"/>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no proceedings or other steps have been taken (nor, to the best of the Supplier’s knowledge, are threatened) for:</w:t>
      </w:r>
    </w:p>
    <w:p w:rsidR="00000000" w:rsidDel="00000000" w:rsidP="00000000" w:rsidRDefault="00000000" w:rsidRPr="00000000" w14:paraId="00000035">
      <w:pPr>
        <w:pStyle w:val="Heading2"/>
        <w:keepNext w:val="0"/>
        <w:keepLines w:val="0"/>
        <w:numPr>
          <w:ilvl w:val="3"/>
          <w:numId w:val="6"/>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winding up of the Supplier; </w:t>
      </w:r>
    </w:p>
    <w:p w:rsidR="00000000" w:rsidDel="00000000" w:rsidP="00000000" w:rsidRDefault="00000000" w:rsidRPr="00000000" w14:paraId="00000036">
      <w:pPr>
        <w:pStyle w:val="Heading2"/>
        <w:keepNext w:val="0"/>
        <w:keepLines w:val="0"/>
        <w:numPr>
          <w:ilvl w:val="3"/>
          <w:numId w:val="6"/>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dissolution; or</w:t>
      </w:r>
    </w:p>
    <w:p w:rsidR="00000000" w:rsidDel="00000000" w:rsidP="00000000" w:rsidRDefault="00000000" w:rsidRPr="00000000" w14:paraId="00000037">
      <w:pPr>
        <w:pStyle w:val="Heading2"/>
        <w:keepNext w:val="0"/>
        <w:keepLines w:val="0"/>
        <w:numPr>
          <w:ilvl w:val="3"/>
          <w:numId w:val="6"/>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Supplier’s assets or revenue,</w:t>
      </w:r>
      <w:r w:rsidDel="00000000" w:rsidR="00000000" w:rsidRPr="00000000">
        <w:rPr>
          <w:rtl w:val="0"/>
        </w:rPr>
      </w:r>
    </w:p>
    <w:p w:rsidR="00000000" w:rsidDel="00000000" w:rsidP="00000000" w:rsidRDefault="00000000" w:rsidRPr="00000000" w14:paraId="00000038">
      <w:pPr>
        <w:pStyle w:val="Heading2"/>
        <w:keepNext w:val="0"/>
        <w:keepLines w:val="0"/>
        <w:spacing w:after="240" w:before="0" w:line="240" w:lineRule="auto"/>
        <w:ind w:left="144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has notified the Buyer of any profit warnings it has issued in the three years prior to the Effective Date.</w:t>
      </w:r>
    </w:p>
    <w:p w:rsidR="00000000" w:rsidDel="00000000" w:rsidP="00000000" w:rsidRDefault="00000000" w:rsidRPr="00000000" w14:paraId="00000039">
      <w:pPr>
        <w:pStyle w:val="Heading2"/>
        <w:keepNext w:val="0"/>
        <w:keepLines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r w:rsidDel="00000000" w:rsidR="00000000" w:rsidRPr="00000000">
        <w:rPr>
          <w:rtl w:val="0"/>
        </w:rPr>
      </w:r>
    </w:p>
    <w:p w:rsidR="00000000" w:rsidDel="00000000" w:rsidP="00000000" w:rsidRDefault="00000000" w:rsidRPr="00000000" w14:paraId="0000003A">
      <w:pPr>
        <w:pStyle w:val="Heading2"/>
        <w:keepNext w:val="0"/>
        <w:keepLines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warranty given by the Supplier in Paragraph 4.1.2 is materially untrue, this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3B">
      <w:pPr>
        <w:pStyle w:val="Heading2"/>
        <w:keepNext w:val="0"/>
        <w:keepLines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Promoting Tax Compliance</w:t>
      </w:r>
      <w:r w:rsidDel="00000000" w:rsidR="00000000" w:rsidRPr="00000000">
        <w:rPr>
          <w:rtl w:val="0"/>
        </w:rPr>
      </w:r>
    </w:p>
    <w:p w:rsidR="00000000" w:rsidDel="00000000" w:rsidP="00000000" w:rsidRDefault="00000000" w:rsidRPr="00000000" w14:paraId="0000003C">
      <w:pPr>
        <w:pStyle w:val="Heading2"/>
        <w:keepNext w:val="0"/>
        <w:keepLines w:val="0"/>
        <w:numPr>
          <w:ilvl w:val="1"/>
          <w:numId w:val="6"/>
        </w:numPr>
        <w:spacing w:after="240" w:line="240" w:lineRule="auto"/>
        <w:ind w:left="792" w:hanging="432"/>
        <w:jc w:val="both"/>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Supplier shall comply with all Law relating to Tax and with the equivalent legal provisions of the country in which the Supplier is established. </w:t>
      </w:r>
      <w:r w:rsidDel="00000000" w:rsidR="00000000" w:rsidRPr="00000000">
        <w:rPr>
          <w:rtl w:val="0"/>
        </w:rPr>
      </w:r>
    </w:p>
    <w:p w:rsidR="00000000" w:rsidDel="00000000" w:rsidP="00000000" w:rsidRDefault="00000000" w:rsidRPr="00000000" w14:paraId="0000003D">
      <w:pPr>
        <w:pStyle w:val="Heading2"/>
        <w:keepNext w:val="0"/>
        <w:keepLines w:val="0"/>
        <w:numPr>
          <w:ilvl w:val="1"/>
          <w:numId w:val="6"/>
        </w:numPr>
        <w:spacing w:after="240" w:line="240" w:lineRule="auto"/>
        <w:ind w:left="792" w:hanging="432"/>
        <w:jc w:val="both"/>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Contract. </w:t>
      </w:r>
      <w:r w:rsidDel="00000000" w:rsidR="00000000" w:rsidRPr="00000000">
        <w:rPr>
          <w:rtl w:val="0"/>
        </w:rPr>
      </w:r>
    </w:p>
    <w:p w:rsidR="00000000" w:rsidDel="00000000" w:rsidP="00000000" w:rsidRDefault="00000000" w:rsidRPr="00000000" w14:paraId="0000003E">
      <w:pPr>
        <w:pStyle w:val="Heading2"/>
        <w:keepNext w:val="0"/>
        <w:keepLines w:val="0"/>
        <w:numPr>
          <w:ilvl w:val="1"/>
          <w:numId w:val="6"/>
        </w:numPr>
        <w:spacing w:after="240" w:line="240" w:lineRule="auto"/>
        <w:ind w:left="792" w:hanging="432"/>
        <w:jc w:val="both"/>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Upon a request by the Buyer, the Supplier shall not contract, or will cease to contract, with any agent, supplier or Subcontractor of the Supplier engaged in supplying Deliverables under the Contract.  </w:t>
      </w:r>
    </w:p>
    <w:p w:rsidR="00000000" w:rsidDel="00000000" w:rsidP="00000000" w:rsidRDefault="00000000" w:rsidRPr="00000000" w14:paraId="0000003F">
      <w:pPr>
        <w:pStyle w:val="Heading2"/>
        <w:keepNext w:val="0"/>
        <w:keepLines w:val="0"/>
        <w:numPr>
          <w:ilvl w:val="1"/>
          <w:numId w:val="6"/>
        </w:numPr>
        <w:spacing w:after="240" w:line="240" w:lineRule="auto"/>
        <w:ind w:left="792" w:hanging="432"/>
        <w:jc w:val="both"/>
        <w:rPr>
          <w:rFonts w:ascii="Arial" w:cs="Arial" w:eastAsia="Arial" w:hAnsi="Arial"/>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If, at any point during the Call-Off Contract Period, there is a Tax Compliance Failure, the Supplier shall:</w:t>
      </w:r>
      <w:r w:rsidDel="00000000" w:rsidR="00000000" w:rsidRPr="00000000">
        <w:rPr>
          <w:rtl w:val="0"/>
        </w:rPr>
      </w:r>
    </w:p>
    <w:p w:rsidR="00000000" w:rsidDel="00000000" w:rsidP="00000000" w:rsidRDefault="00000000" w:rsidRPr="00000000" w14:paraId="00000040">
      <w:pPr>
        <w:pStyle w:val="Heading2"/>
        <w:keepNext w:val="0"/>
        <w:keepLines w:val="0"/>
        <w:numPr>
          <w:ilvl w:val="2"/>
          <w:numId w:val="6"/>
        </w:numPr>
        <w:spacing w:after="240" w:before="0" w:line="240" w:lineRule="auto"/>
        <w:ind w:left="1418" w:hanging="698"/>
        <w:jc w:val="both"/>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notify the Buyer in writing within five (5) Working Days of its occurrence; and</w:t>
      </w:r>
      <w:r w:rsidDel="00000000" w:rsidR="00000000" w:rsidRPr="00000000">
        <w:rPr>
          <w:rtl w:val="0"/>
        </w:rPr>
      </w:r>
    </w:p>
    <w:p w:rsidR="00000000" w:rsidDel="00000000" w:rsidP="00000000" w:rsidRDefault="00000000" w:rsidRPr="00000000" w14:paraId="00000041">
      <w:pPr>
        <w:pStyle w:val="Heading2"/>
        <w:keepNext w:val="0"/>
        <w:keepLines w:val="0"/>
        <w:numPr>
          <w:ilvl w:val="2"/>
          <w:numId w:val="6"/>
        </w:numPr>
        <w:spacing w:after="240" w:before="0" w:line="240" w:lineRule="auto"/>
        <w:ind w:left="1418" w:hanging="698"/>
        <w:jc w:val="both"/>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promptly provide to the Buyer:</w:t>
      </w:r>
      <w:r w:rsidDel="00000000" w:rsidR="00000000" w:rsidRPr="00000000">
        <w:rPr>
          <w:rtl w:val="0"/>
        </w:rPr>
      </w:r>
    </w:p>
    <w:p w:rsidR="00000000" w:rsidDel="00000000" w:rsidP="00000000" w:rsidRDefault="00000000" w:rsidRPr="00000000" w14:paraId="00000042">
      <w:pPr>
        <w:pStyle w:val="Heading2"/>
        <w:keepNext w:val="0"/>
        <w:keepLines w:val="0"/>
        <w:numPr>
          <w:ilvl w:val="3"/>
          <w:numId w:val="6"/>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Compliance Failure and to prevent it from recurring, together with any mitigating factors that it considers relevant; and </w:t>
      </w:r>
    </w:p>
    <w:p w:rsidR="00000000" w:rsidDel="00000000" w:rsidP="00000000" w:rsidRDefault="00000000" w:rsidRPr="00000000" w14:paraId="00000043">
      <w:pPr>
        <w:pStyle w:val="Heading2"/>
        <w:keepNext w:val="0"/>
        <w:keepLines w:val="0"/>
        <w:numPr>
          <w:ilvl w:val="3"/>
          <w:numId w:val="6"/>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Buyer may reasonably require.</w:t>
      </w:r>
      <w:r w:rsidDel="00000000" w:rsidR="00000000" w:rsidRPr="00000000">
        <w:rPr>
          <w:rtl w:val="0"/>
        </w:rPr>
      </w:r>
    </w:p>
    <w:p w:rsidR="00000000" w:rsidDel="00000000" w:rsidP="00000000" w:rsidRDefault="00000000" w:rsidRPr="00000000" w14:paraId="00000044">
      <w:pPr>
        <w:pStyle w:val="Heading2"/>
        <w:keepNext w:val="0"/>
        <w:keepLines w:val="0"/>
        <w:numPr>
          <w:ilvl w:val="1"/>
          <w:numId w:val="6"/>
        </w:numPr>
        <w:spacing w:after="240" w:line="240" w:lineRule="auto"/>
        <w:ind w:left="792" w:hanging="432"/>
        <w:jc w:val="both"/>
        <w:rPr>
          <w:rFonts w:ascii="Arial" w:cs="Arial" w:eastAsia="Arial" w:hAnsi="Arial"/>
          <w:color w:val="000000"/>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Contract. </w:t>
      </w:r>
    </w:p>
    <w:p w:rsidR="00000000" w:rsidDel="00000000" w:rsidP="00000000" w:rsidRDefault="00000000" w:rsidRPr="00000000" w14:paraId="00000045">
      <w:pPr>
        <w:pStyle w:val="Heading2"/>
        <w:keepNext w:val="0"/>
        <w:keepLines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amounts due under Paragraph 5.5 shall be paid not less than five (5) Working Days before the date upon which the Tax or other liability is payable by the Buyer.  Any amounts due under Paragraph 5.5 shall not be subject to clause 11.2 of the Core Terms.</w:t>
      </w:r>
      <w:r w:rsidDel="00000000" w:rsidR="00000000" w:rsidRPr="00000000">
        <w:rPr>
          <w:rtl w:val="0"/>
        </w:rPr>
      </w:r>
    </w:p>
    <w:p w:rsidR="00000000" w:rsidDel="00000000" w:rsidP="00000000" w:rsidRDefault="00000000" w:rsidRPr="00000000" w14:paraId="00000046">
      <w:pPr>
        <w:pStyle w:val="Heading2"/>
        <w:keepNext w:val="0"/>
        <w:keepLines w:val="0"/>
        <w:numPr>
          <w:ilvl w:val="1"/>
          <w:numId w:val="6"/>
        </w:numPr>
        <w:spacing w:after="240" w:line="240" w:lineRule="auto"/>
        <w:ind w:left="792" w:hanging="432"/>
        <w:jc w:val="both"/>
        <w:rPr>
          <w:rFonts w:ascii="Arial" w:cs="Arial" w:eastAsia="Arial" w:hAnsi="Arial"/>
          <w:sz w:val="24"/>
          <w:szCs w:val="24"/>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Upon the Buyer’s request, the Supplier shall promptly provide information which demonstrates how the Supplier complies with its Tax obligations. </w:t>
      </w:r>
      <w:r w:rsidDel="00000000" w:rsidR="00000000" w:rsidRPr="00000000">
        <w:rPr>
          <w:rtl w:val="0"/>
        </w:rPr>
      </w:r>
    </w:p>
    <w:p w:rsidR="00000000" w:rsidDel="00000000" w:rsidP="00000000" w:rsidRDefault="00000000" w:rsidRPr="00000000" w14:paraId="00000047">
      <w:pPr>
        <w:pStyle w:val="Heading2"/>
        <w:keepNext w:val="0"/>
        <w:keepLines w:val="0"/>
        <w:numPr>
          <w:ilvl w:val="1"/>
          <w:numId w:val="6"/>
        </w:numPr>
        <w:spacing w:after="24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w:t>
      </w:r>
    </w:p>
    <w:p w:rsidR="00000000" w:rsidDel="00000000" w:rsidP="00000000" w:rsidRDefault="00000000" w:rsidRPr="00000000" w14:paraId="00000048">
      <w:pPr>
        <w:pStyle w:val="Heading2"/>
        <w:keepNext w:val="0"/>
        <w:keepLines w:val="0"/>
        <w:numPr>
          <w:ilvl w:val="2"/>
          <w:numId w:val="6"/>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Contract; </w:t>
      </w:r>
    </w:p>
    <w:p w:rsidR="00000000" w:rsidDel="00000000" w:rsidP="00000000" w:rsidRDefault="00000000" w:rsidRPr="00000000" w14:paraId="00000049">
      <w:pPr>
        <w:pStyle w:val="Heading2"/>
        <w:keepNext w:val="0"/>
        <w:keepLines w:val="0"/>
        <w:numPr>
          <w:ilvl w:val="2"/>
          <w:numId w:val="6"/>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Contract; and/or</w:t>
      </w:r>
    </w:p>
    <w:p w:rsidR="00000000" w:rsidDel="00000000" w:rsidP="00000000" w:rsidRDefault="00000000" w:rsidRPr="00000000" w14:paraId="0000004A">
      <w:pPr>
        <w:pStyle w:val="Heading2"/>
        <w:keepNext w:val="0"/>
        <w:keepLines w:val="0"/>
        <w:numPr>
          <w:ilvl w:val="2"/>
          <w:numId w:val="6"/>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Contract;</w:t>
      </w:r>
    </w:p>
    <w:p w:rsidR="00000000" w:rsidDel="00000000" w:rsidP="00000000" w:rsidRDefault="00000000" w:rsidRPr="00000000" w14:paraId="0000004B">
      <w:pPr>
        <w:pStyle w:val="Heading2"/>
        <w:keepNext w:val="0"/>
        <w:keepLines w:val="0"/>
        <w:spacing w:after="240" w:line="240" w:lineRule="auto"/>
        <w:ind w:left="79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be deemed to be an event to which clause 10.4.1 of the Core Terms applies and Clauses 10.6.1 and 10.6.2 of the Core Terms shall apply as if the Contract had been terminated under Clause 10.4.1.</w:t>
      </w:r>
    </w:p>
    <w:p w:rsidR="00000000" w:rsidDel="00000000" w:rsidP="00000000" w:rsidRDefault="00000000" w:rsidRPr="00000000" w14:paraId="0000004C">
      <w:pPr>
        <w:pStyle w:val="Heading2"/>
        <w:keepNext w:val="0"/>
        <w:keepLines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addition to those circumstances listed in clause 15.2 to 15.4 of the Core Terms, the Buyer may internally share any information, including Confidential Information, which it receives under Paragraphs 5.2 to 5.4 (inclusive) and 5.7. </w:t>
      </w:r>
      <w:r w:rsidDel="00000000" w:rsidR="00000000" w:rsidRPr="00000000">
        <w:rPr>
          <w:rtl w:val="0"/>
        </w:rPr>
      </w:r>
    </w:p>
    <w:p w:rsidR="00000000" w:rsidDel="00000000" w:rsidP="00000000" w:rsidRDefault="00000000" w:rsidRPr="00000000" w14:paraId="0000004D">
      <w:pPr>
        <w:pStyle w:val="Heading2"/>
        <w:keepNext w:val="0"/>
        <w:keepLines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bookmarkStart w:colFirst="0" w:colLast="0" w:name="_heading=h.35nkun2" w:id="14"/>
      <w:bookmarkEnd w:id="14"/>
      <w:r w:rsidDel="00000000" w:rsidR="00000000" w:rsidRPr="00000000">
        <w:rPr>
          <w:rFonts w:ascii="Arial" w:cs="Arial" w:eastAsia="Arial" w:hAnsi="Arial"/>
          <w:b w:val="1"/>
          <w:color w:val="000000"/>
          <w:sz w:val="24"/>
          <w:szCs w:val="24"/>
          <w:rtl w:val="0"/>
        </w:rPr>
        <w:t xml:space="preserve">Use of Off-shore Tax Structures</w:t>
      </w:r>
      <w:r w:rsidDel="00000000" w:rsidR="00000000" w:rsidRPr="00000000">
        <w:rPr>
          <w:rtl w:val="0"/>
        </w:rPr>
      </w:r>
    </w:p>
    <w:p w:rsidR="00000000" w:rsidDel="00000000" w:rsidP="00000000" w:rsidRDefault="00000000" w:rsidRPr="00000000" w14:paraId="0000004E">
      <w:pPr>
        <w:pStyle w:val="Heading2"/>
        <w:keepNext w:val="0"/>
        <w:keepLines w:val="0"/>
        <w:numPr>
          <w:ilvl w:val="1"/>
          <w:numId w:val="6"/>
        </w:numPr>
        <w:spacing w:after="240" w:line="240" w:lineRule="auto"/>
        <w:ind w:left="792" w:hanging="432"/>
        <w:jc w:val="both"/>
        <w:rPr>
          <w:rFonts w:ascii="Arial" w:cs="Arial" w:eastAsia="Arial" w:hAnsi="Arial"/>
          <w:b w:val="1"/>
          <w:color w:val="000000"/>
          <w:sz w:val="24"/>
          <w:szCs w:val="24"/>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r w:rsidDel="00000000" w:rsidR="00000000" w:rsidRPr="00000000">
        <w:rPr>
          <w:rtl w:val="0"/>
        </w:rPr>
      </w:r>
    </w:p>
    <w:p w:rsidR="00000000" w:rsidDel="00000000" w:rsidP="00000000" w:rsidRDefault="00000000" w:rsidRPr="00000000" w14:paraId="0000004F">
      <w:pPr>
        <w:pStyle w:val="Heading2"/>
        <w:keepNext w:val="0"/>
        <w:keepLines w:val="0"/>
        <w:numPr>
          <w:ilvl w:val="1"/>
          <w:numId w:val="6"/>
        </w:numPr>
        <w:spacing w:after="240" w:line="240" w:lineRule="auto"/>
        <w:ind w:left="792" w:hanging="432"/>
        <w:jc w:val="both"/>
        <w:rPr>
          <w:rFonts w:ascii="Arial" w:cs="Arial" w:eastAsia="Arial" w:hAnsi="Arial"/>
          <w:sz w:val="24"/>
          <w:szCs w:val="24"/>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050">
      <w:pPr>
        <w:pStyle w:val="Heading2"/>
        <w:keepNext w:val="0"/>
        <w:keepLines w:val="0"/>
        <w:numPr>
          <w:ilvl w:val="1"/>
          <w:numId w:val="6"/>
        </w:numPr>
        <w:spacing w:after="240" w:line="240" w:lineRule="auto"/>
        <w:ind w:left="792" w:hanging="432"/>
        <w:jc w:val="both"/>
        <w:rPr>
          <w:rFonts w:ascii="Arial" w:cs="Arial" w:eastAsia="Arial" w:hAnsi="Arial"/>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r w:rsidDel="00000000" w:rsidR="00000000" w:rsidRPr="00000000">
        <w:rPr>
          <w:rtl w:val="0"/>
        </w:rPr>
      </w:r>
    </w:p>
    <w:p w:rsidR="00000000" w:rsidDel="00000000" w:rsidP="00000000" w:rsidRDefault="00000000" w:rsidRPr="00000000" w14:paraId="00000051">
      <w:pPr>
        <w:pStyle w:val="Heading2"/>
        <w:keepNext w:val="0"/>
        <w:keepLines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52">
      <w:pPr>
        <w:pStyle w:val="Heading2"/>
        <w:keepNext w:val="0"/>
        <w:keepLines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53">
      <w:pPr>
        <w:pStyle w:val="Heading2"/>
        <w:keepNext w:val="0"/>
        <w:keepLines w:val="0"/>
        <w:numPr>
          <w:ilvl w:val="1"/>
          <w:numId w:val="6"/>
        </w:numPr>
        <w:spacing w:after="240" w:line="240" w:lineRule="auto"/>
        <w:ind w:left="792" w:hanging="432"/>
        <w:jc w:val="both"/>
        <w:rPr>
          <w:rFonts w:ascii="Arial" w:cs="Arial" w:eastAsia="Arial" w:hAnsi="Arial"/>
          <w:sz w:val="24"/>
          <w:szCs w:val="24"/>
        </w:rPr>
      </w:pPr>
      <w:bookmarkStart w:colFirst="0" w:colLast="0" w:name="_heading=h.z337ya" w:id="18"/>
      <w:bookmarkEnd w:id="18"/>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Contract:</w:t>
      </w:r>
      <w:r w:rsidDel="00000000" w:rsidR="00000000" w:rsidRPr="00000000">
        <w:rPr>
          <w:rtl w:val="0"/>
        </w:rPr>
      </w:r>
    </w:p>
    <w:p w:rsidR="00000000" w:rsidDel="00000000" w:rsidP="00000000" w:rsidRDefault="00000000" w:rsidRPr="00000000" w14:paraId="00000054">
      <w:pPr>
        <w:pStyle w:val="Heading2"/>
        <w:keepNext w:val="0"/>
        <w:keepLines w:val="0"/>
        <w:numPr>
          <w:ilvl w:val="2"/>
          <w:numId w:val="6"/>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55">
      <w:pPr>
        <w:pStyle w:val="Heading2"/>
        <w:keepNext w:val="0"/>
        <w:keepLines w:val="0"/>
        <w:numPr>
          <w:ilvl w:val="3"/>
          <w:numId w:val="6"/>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GDPR Article 46 or LED Article 37) as determined by the Controller;</w:t>
      </w:r>
      <w:r w:rsidDel="00000000" w:rsidR="00000000" w:rsidRPr="00000000">
        <w:rPr>
          <w:rtl w:val="0"/>
        </w:rPr>
      </w:r>
    </w:p>
    <w:p w:rsidR="00000000" w:rsidDel="00000000" w:rsidP="00000000" w:rsidRDefault="00000000" w:rsidRPr="00000000" w14:paraId="00000056">
      <w:pPr>
        <w:pStyle w:val="Heading2"/>
        <w:keepNext w:val="0"/>
        <w:keepLines w:val="0"/>
        <w:numPr>
          <w:ilvl w:val="3"/>
          <w:numId w:val="6"/>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57">
      <w:pPr>
        <w:pStyle w:val="Heading2"/>
        <w:keepNext w:val="0"/>
        <w:keepLines w:val="0"/>
        <w:numPr>
          <w:ilvl w:val="3"/>
          <w:numId w:val="6"/>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58">
      <w:pPr>
        <w:pStyle w:val="Heading2"/>
        <w:keepNext w:val="0"/>
        <w:keepLines w:val="0"/>
        <w:numPr>
          <w:ilvl w:val="3"/>
          <w:numId w:val="6"/>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059">
      <w:pPr>
        <w:pStyle w:val="Heading2"/>
        <w:keepNext w:val="0"/>
        <w:keepLines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Processor to comply with the obligations set out in Paragraph 7.1 shall be deemed to be an event to which clause 10.4.1 of the Core Terms applies and Clauses 10.6.1 and 10.6.2 of the Core Terms shall apply as if the Contract had been terminated under Clause 10.4.1. </w:t>
      </w:r>
      <w:r w:rsidDel="00000000" w:rsidR="00000000" w:rsidRPr="00000000">
        <w:rPr>
          <w:rtl w:val="0"/>
        </w:rPr>
      </w:r>
    </w:p>
    <w:p w:rsidR="00000000" w:rsidDel="00000000" w:rsidP="00000000" w:rsidRDefault="00000000" w:rsidRPr="00000000" w14:paraId="0000005A">
      <w:pPr>
        <w:pStyle w:val="Heading2"/>
        <w:keepNext w:val="0"/>
        <w:keepLines w:val="0"/>
        <w:numPr>
          <w:ilvl w:val="0"/>
          <w:numId w:val="6"/>
        </w:numPr>
        <w:pBdr>
          <w:top w:space="0" w:sz="0" w:val="nil"/>
          <w:left w:space="0" w:sz="0" w:val="nil"/>
          <w:bottom w:space="0" w:sz="0" w:val="nil"/>
          <w:right w:space="0" w:sz="0" w:val="nil"/>
          <w:between w:space="0" w:sz="0" w:val="nil"/>
        </w:pBdr>
        <w:spacing w:after="240" w:before="0" w:line="240" w:lineRule="auto"/>
        <w:ind w:left="567" w:hanging="567"/>
        <w:jc w:val="both"/>
        <w:rPr>
          <w:rFonts w:ascii="Arial" w:cs="Arial" w:eastAsia="Arial" w:hAnsi="Arial"/>
          <w:b w:val="1"/>
          <w:sz w:val="24"/>
          <w:szCs w:val="24"/>
        </w:rPr>
      </w:pPr>
      <w:bookmarkStart w:colFirst="0" w:colLast="0" w:name="_heading=h.3j2qqm3" w:id="19"/>
      <w:bookmarkEnd w:id="19"/>
      <w:r w:rsidDel="00000000" w:rsidR="00000000" w:rsidRPr="00000000">
        <w:rPr>
          <w:rFonts w:ascii="Arial" w:cs="Arial" w:eastAsia="Arial" w:hAnsi="Arial"/>
          <w:b w:val="1"/>
          <w:color w:val="000000"/>
          <w:sz w:val="24"/>
          <w:szCs w:val="24"/>
          <w:rtl w:val="0"/>
        </w:rPr>
        <w:t xml:space="preserve">Commissioners for Revenue and Customs Act 2005 and related Legislation </w:t>
      </w:r>
      <w:r w:rsidDel="00000000" w:rsidR="00000000" w:rsidRPr="00000000">
        <w:rPr>
          <w:rtl w:val="0"/>
        </w:rPr>
      </w:r>
    </w:p>
    <w:p w:rsidR="00000000" w:rsidDel="00000000" w:rsidP="00000000" w:rsidRDefault="00000000" w:rsidRPr="00000000" w14:paraId="0000005B">
      <w:pPr>
        <w:pStyle w:val="Heading2"/>
        <w:keepNext w:val="0"/>
        <w:keepLines w:val="0"/>
        <w:numPr>
          <w:ilvl w:val="1"/>
          <w:numId w:val="6"/>
        </w:numPr>
        <w:spacing w:after="240" w:line="240" w:lineRule="auto"/>
        <w:ind w:left="851" w:hanging="709"/>
        <w:jc w:val="both"/>
        <w:rPr>
          <w:rFonts w:ascii="Arial" w:cs="Arial" w:eastAsia="Arial" w:hAnsi="Arial"/>
          <w:sz w:val="24"/>
          <w:szCs w:val="24"/>
        </w:rPr>
      </w:pPr>
      <w:bookmarkStart w:colFirst="0" w:colLast="0" w:name="_heading=h.1y810tw" w:id="20"/>
      <w:bookmarkEnd w:id="20"/>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color w:val="000000"/>
          <w:sz w:val="24"/>
          <w:szCs w:val="24"/>
          <w:rtl w:val="0"/>
        </w:rPr>
        <w:t xml:space="preserve">CRCA</w:t>
      </w:r>
      <w:r w:rsidDel="00000000" w:rsidR="00000000" w:rsidRPr="00000000">
        <w:rPr>
          <w:rFonts w:ascii="Arial" w:cs="Arial" w:eastAsia="Arial" w:hAnsi="Arial"/>
          <w:color w:val="000000"/>
          <w:sz w:val="24"/>
          <w:szCs w:val="24"/>
          <w:rtl w:val="0"/>
        </w:rPr>
        <w:t xml:space="preserve">”) to maintain the confidentiality of Government Data.  Further, the Supplier acknowledges that (without prejudice to any other rights and remedies of the Buyer) a breach of those obligations may lead to a prosecution under Section 19 of CRCA. </w:t>
      </w:r>
      <w:r w:rsidDel="00000000" w:rsidR="00000000" w:rsidRPr="00000000">
        <w:rPr>
          <w:rtl w:val="0"/>
        </w:rPr>
      </w:r>
    </w:p>
    <w:p w:rsidR="00000000" w:rsidDel="00000000" w:rsidP="00000000" w:rsidRDefault="00000000" w:rsidRPr="00000000" w14:paraId="0000005C">
      <w:pPr>
        <w:pStyle w:val="Heading2"/>
        <w:keepNext w:val="0"/>
        <w:keepLines w:val="0"/>
        <w:numPr>
          <w:ilvl w:val="1"/>
          <w:numId w:val="6"/>
        </w:numPr>
        <w:spacing w:after="240" w:line="240" w:lineRule="auto"/>
        <w:ind w:left="851"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Del="00000000" w:rsidR="00000000" w:rsidRPr="00000000">
        <w:rPr>
          <w:i w:val="1"/>
          <w:color w:val="000000"/>
          <w:rtl w:val="0"/>
        </w:rPr>
        <w:t xml:space="preserve"> </w:t>
      </w:r>
      <w:r w:rsidDel="00000000" w:rsidR="00000000" w:rsidRPr="00000000">
        <w:rPr>
          <w:rFonts w:ascii="Arial" w:cs="Arial" w:eastAsia="Arial" w:hAnsi="Arial"/>
          <w:color w:val="000000"/>
          <w:sz w:val="24"/>
          <w:szCs w:val="24"/>
          <w:rtl w:val="0"/>
        </w:rPr>
        <w:t xml:space="preserve">Further, the Supplier acknowledges that (without prejudice to any other rights and remedies of the Buyer) a breach of those obligations may lead to prosecution under those Acts. </w:t>
      </w:r>
    </w:p>
    <w:p w:rsidR="00000000" w:rsidDel="00000000" w:rsidP="00000000" w:rsidRDefault="00000000" w:rsidRPr="00000000" w14:paraId="0000005D">
      <w:pPr>
        <w:pStyle w:val="Heading2"/>
        <w:keepNext w:val="0"/>
        <w:keepLines w:val="0"/>
        <w:numPr>
          <w:ilvl w:val="1"/>
          <w:numId w:val="6"/>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05E">
      <w:pPr>
        <w:pStyle w:val="Heading2"/>
        <w:keepNext w:val="0"/>
        <w:keepLines w:val="0"/>
        <w:numPr>
          <w:ilvl w:val="1"/>
          <w:numId w:val="6"/>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r w:rsidDel="00000000" w:rsidR="00000000" w:rsidRPr="00000000">
        <w:rPr>
          <w:rtl w:val="0"/>
        </w:rPr>
      </w:r>
    </w:p>
    <w:p w:rsidR="00000000" w:rsidDel="00000000" w:rsidP="00000000" w:rsidRDefault="00000000" w:rsidRPr="00000000" w14:paraId="0000005F">
      <w:pPr>
        <w:pStyle w:val="Heading2"/>
        <w:keepNext w:val="0"/>
        <w:keepLines w:val="0"/>
        <w:numPr>
          <w:ilvl w:val="1"/>
          <w:numId w:val="6"/>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r w:rsidDel="00000000" w:rsidR="00000000" w:rsidRPr="00000000">
        <w:rPr>
          <w:rtl w:val="0"/>
        </w:rPr>
      </w:r>
    </w:p>
    <w:p w:rsidR="00000000" w:rsidDel="00000000" w:rsidP="00000000" w:rsidRDefault="00000000" w:rsidRPr="00000000" w14:paraId="00000060">
      <w:pPr>
        <w:pStyle w:val="Heading2"/>
        <w:keepNext w:val="0"/>
        <w:keepLines w:val="0"/>
        <w:numPr>
          <w:ilvl w:val="1"/>
          <w:numId w:val="6"/>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Supplier or the Supplier Staff fail to comply with this Paragraph 8, the Buyer reserves the right to terminate the Contract as if that failure to comply were an event to which clause 10.4.1 of the Core Terms applies. </w:t>
      </w:r>
      <w:r w:rsidDel="00000000" w:rsidR="00000000" w:rsidRPr="00000000">
        <w:rPr>
          <w:rtl w:val="0"/>
        </w:rPr>
      </w:r>
    </w:p>
    <w:p w:rsidR="00000000" w:rsidDel="00000000" w:rsidP="00000000" w:rsidRDefault="00000000" w:rsidRPr="00000000" w14:paraId="00000061">
      <w:pPr>
        <w:spacing w:after="240" w:line="240" w:lineRule="auto"/>
        <w:jc w:val="cente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6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Condition one (An in-scope entity or person)</w:t>
      </w: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5">
      <w:pPr>
        <w:numPr>
          <w:ilvl w:val="0"/>
          <w:numId w:val="4"/>
        </w:numPr>
        <w:pBdr>
          <w:top w:space="0" w:sz="0" w:val="nil"/>
          <w:left w:space="0" w:sz="0" w:val="nil"/>
          <w:bottom w:space="0" w:sz="0" w:val="nil"/>
          <w:right w:space="0" w:sz="0" w:val="nil"/>
          <w:between w:space="0" w:sz="0" w:val="nil"/>
        </w:pBdr>
        <w:spacing w:after="24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is a person or entity which is either: (“X”)</w:t>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240" w:line="240" w:lineRule="auto"/>
        <w:ind w:left="284" w:firstLine="6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7">
      <w:pPr>
        <w:numPr>
          <w:ilvl w:val="0"/>
          <w:numId w:val="3"/>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Economic Operator or Essential Subcontractor (EOS)</w:t>
      </w:r>
    </w:p>
    <w:p w:rsidR="00000000" w:rsidDel="00000000" w:rsidP="00000000" w:rsidRDefault="00000000" w:rsidRPr="00000000" w14:paraId="00000068">
      <w:pPr>
        <w:numPr>
          <w:ilvl w:val="0"/>
          <w:numId w:val="3"/>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i w:val="1"/>
          <w:color w:val="000000"/>
          <w:sz w:val="24"/>
          <w:szCs w:val="24"/>
          <w:rtl w:val="0"/>
        </w:rPr>
        <w:t xml:space="preserve">IFRS 10 Consolidated Financial Accounts</w:t>
      </w:r>
      <w:r w:rsidDel="00000000" w:rsidR="00000000" w:rsidRPr="00000000">
        <w:rPr>
          <w:rFonts w:ascii="Arial" w:cs="Arial" w:eastAsia="Arial" w:hAnsi="Arial"/>
          <w:i w:val="1"/>
          <w:color w:val="000000"/>
          <w:sz w:val="24"/>
          <w:szCs w:val="24"/>
          <w:vertAlign w:val="superscript"/>
        </w:rPr>
        <w:footnoteReference w:customMarkFollows="0" w:id="0"/>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9">
      <w:pPr>
        <w:numPr>
          <w:ilvl w:val="0"/>
          <w:numId w:val="3"/>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6C">
      <w:pPr>
        <w:numPr>
          <w:ilvl w:val="0"/>
          <w:numId w:val="4"/>
        </w:numPr>
        <w:pBdr>
          <w:top w:space="0" w:sz="0" w:val="nil"/>
          <w:left w:space="0" w:sz="0" w:val="nil"/>
          <w:bottom w:space="0" w:sz="0" w:val="nil"/>
          <w:right w:space="0" w:sz="0" w:val="nil"/>
          <w:between w:space="0" w:sz="0" w:val="nil"/>
        </w:pBdr>
        <w:spacing w:after="24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 has been engaged in one or more of the following:</w:t>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E">
      <w:pPr>
        <w:numPr>
          <w:ilvl w:val="1"/>
          <w:numId w:val="1"/>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Fraudulent evasion</w:t>
      </w:r>
      <w:r w:rsidDel="00000000" w:rsidR="00000000" w:rsidRPr="00000000">
        <w:rPr>
          <w:rFonts w:ascii="Arial" w:cs="Arial" w:eastAsia="Arial" w:hAnsi="Arial"/>
          <w:color w:val="000000"/>
          <w:sz w:val="24"/>
          <w:szCs w:val="24"/>
          <w:vertAlign w:val="superscript"/>
        </w:rPr>
        <w:footnoteReference w:customMarkFollows="0" w:id="1"/>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F">
      <w:pPr>
        <w:numPr>
          <w:ilvl w:val="1"/>
          <w:numId w:val="1"/>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Conduct caught by the General Anti-Abuse Rule</w:t>
      </w:r>
      <w:r w:rsidDel="00000000" w:rsidR="00000000" w:rsidRPr="00000000">
        <w:rPr>
          <w:rFonts w:ascii="Arial" w:cs="Arial" w:eastAsia="Arial" w:hAnsi="Arial"/>
          <w:color w:val="000000"/>
          <w:sz w:val="24"/>
          <w:szCs w:val="24"/>
          <w:vertAlign w:val="superscript"/>
        </w:rPr>
        <w:footnoteReference w:customMarkFollows="0" w:id="2"/>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0">
      <w:pPr>
        <w:numPr>
          <w:ilvl w:val="1"/>
          <w:numId w:val="1"/>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Conduct caught by the Halifax Abuse principle</w:t>
      </w:r>
      <w:r w:rsidDel="00000000" w:rsidR="00000000" w:rsidRPr="00000000">
        <w:rPr>
          <w:rFonts w:ascii="Arial" w:cs="Arial" w:eastAsia="Arial" w:hAnsi="Arial"/>
          <w:color w:val="000000"/>
          <w:sz w:val="24"/>
          <w:szCs w:val="24"/>
          <w:vertAlign w:val="superscript"/>
        </w:rPr>
        <w:footnoteReference w:customMarkFollows="0" w:id="3"/>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1">
      <w:pPr>
        <w:numPr>
          <w:ilvl w:val="1"/>
          <w:numId w:val="1"/>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Entered into arrangements caught by a DOTAS or VADR scheme</w:t>
      </w:r>
      <w:r w:rsidDel="00000000" w:rsidR="00000000" w:rsidRPr="00000000">
        <w:rPr>
          <w:rFonts w:ascii="Arial" w:cs="Arial" w:eastAsia="Arial" w:hAnsi="Arial"/>
          <w:color w:val="000000"/>
          <w:sz w:val="24"/>
          <w:szCs w:val="24"/>
          <w:vertAlign w:val="superscript"/>
        </w:rPr>
        <w:footnoteReference w:customMarkFollows="0" w:id="4"/>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2">
      <w:pPr>
        <w:numPr>
          <w:ilvl w:val="1"/>
          <w:numId w:val="1"/>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Conduct caught by a recognised ‘anti-avoidance rule’</w:t>
      </w:r>
      <w:r w:rsidDel="00000000" w:rsidR="00000000" w:rsidRPr="00000000">
        <w:rPr>
          <w:rFonts w:ascii="Arial" w:cs="Arial" w:eastAsia="Arial" w:hAnsi="Arial"/>
          <w:color w:val="000000"/>
          <w:sz w:val="24"/>
          <w:szCs w:val="24"/>
          <w:vertAlign w:val="superscript"/>
        </w:rPr>
        <w:footnoteReference w:customMarkFollows="0" w:id="5"/>
      </w:r>
      <w:r w:rsidDel="00000000" w:rsidR="00000000" w:rsidRPr="00000000">
        <w:rPr>
          <w:rFonts w:ascii="Arial" w:cs="Arial" w:eastAsia="Arial" w:hAnsi="Arial"/>
          <w:color w:val="000000"/>
          <w:sz w:val="24"/>
          <w:szCs w:val="24"/>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073">
      <w:pPr>
        <w:numPr>
          <w:ilvl w:val="1"/>
          <w:numId w:val="1"/>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Entered into an avoidance scheme identified by HMRC’s published Spotlights list</w:t>
      </w:r>
      <w:r w:rsidDel="00000000" w:rsidR="00000000" w:rsidRPr="00000000">
        <w:rPr>
          <w:rFonts w:ascii="Arial" w:cs="Arial" w:eastAsia="Arial" w:hAnsi="Arial"/>
          <w:color w:val="000000"/>
          <w:sz w:val="24"/>
          <w:szCs w:val="24"/>
          <w:vertAlign w:val="superscript"/>
        </w:rPr>
        <w:footnoteReference w:customMarkFollows="0" w:id="6"/>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4">
      <w:pPr>
        <w:numPr>
          <w:ilvl w:val="1"/>
          <w:numId w:val="1"/>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Engaged in conduct which falls under rules in other jurisdictions which are equivalent or similar to (a) to (f) above.</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76">
      <w:pPr>
        <w:numPr>
          <w:ilvl w:val="0"/>
          <w:numId w:val="4"/>
        </w:numPr>
        <w:pBdr>
          <w:top w:space="0" w:sz="0" w:val="nil"/>
          <w:left w:space="0" w:sz="0" w:val="nil"/>
          <w:bottom w:space="0" w:sz="0" w:val="nil"/>
          <w:right w:space="0" w:sz="0" w:val="nil"/>
          <w:between w:space="0" w:sz="0" w:val="nil"/>
        </w:pBdr>
        <w:spacing w:after="24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X’s activity in </w:t>
      </w:r>
      <w:r w:rsidDel="00000000" w:rsidR="00000000" w:rsidRPr="00000000">
        <w:rPr>
          <w:rFonts w:ascii="Arial" w:cs="Arial" w:eastAsia="Arial" w:hAnsi="Arial"/>
          <w:i w:val="1"/>
          <w:color w:val="000000"/>
          <w:sz w:val="24"/>
          <w:szCs w:val="24"/>
          <w:rtl w:val="0"/>
        </w:rPr>
        <w:t xml:space="preserve">Condition 2</w:t>
      </w:r>
      <w:r w:rsidDel="00000000" w:rsidR="00000000" w:rsidRPr="00000000">
        <w:rPr>
          <w:rFonts w:ascii="Arial" w:cs="Arial" w:eastAsia="Arial" w:hAnsi="Arial"/>
          <w:color w:val="000000"/>
          <w:sz w:val="24"/>
          <w:szCs w:val="24"/>
          <w:rtl w:val="0"/>
        </w:rPr>
        <w:t xml:space="preserve"> is, where applicable, subject to dispute and/or litigation as follows:</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240" w:line="240" w:lineRule="auto"/>
        <w:ind w:firstLine="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8">
      <w:pPr>
        <w:numPr>
          <w:ilvl w:val="1"/>
          <w:numId w:val="2"/>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either X:</w:t>
      </w:r>
    </w:p>
    <w:p w:rsidR="00000000" w:rsidDel="00000000" w:rsidP="00000000" w:rsidRDefault="00000000" w:rsidRPr="00000000" w14:paraId="00000079">
      <w:pPr>
        <w:numPr>
          <w:ilvl w:val="2"/>
          <w:numId w:val="2"/>
        </w:numPr>
        <w:pBdr>
          <w:top w:space="0" w:sz="0" w:val="nil"/>
          <w:left w:space="0" w:sz="0" w:val="nil"/>
          <w:bottom w:space="0" w:sz="0" w:val="nil"/>
          <w:right w:space="0" w:sz="0" w:val="nil"/>
          <w:between w:space="0" w:sz="0" w:val="nil"/>
        </w:pBdr>
        <w:spacing w:after="24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color w:val="000000"/>
          <w:sz w:val="24"/>
          <w:szCs w:val="24"/>
          <w:vertAlign w:val="superscript"/>
        </w:rPr>
        <w:footnoteReference w:customMarkFollows="0" w:id="7"/>
      </w:r>
      <w:r w:rsidDel="00000000" w:rsidR="00000000" w:rsidRPr="00000000">
        <w:rPr>
          <w:rFonts w:ascii="Arial" w:cs="Arial" w:eastAsia="Arial" w:hAnsi="Arial"/>
          <w:color w:val="000000"/>
          <w:sz w:val="24"/>
          <w:szCs w:val="24"/>
          <w:rtl w:val="0"/>
        </w:rPr>
        <w:t xml:space="preserve">; or,</w:t>
      </w:r>
    </w:p>
    <w:p w:rsidR="00000000" w:rsidDel="00000000" w:rsidP="00000000" w:rsidRDefault="00000000" w:rsidRPr="00000000" w14:paraId="0000007A">
      <w:pPr>
        <w:numPr>
          <w:ilvl w:val="2"/>
          <w:numId w:val="2"/>
        </w:numPr>
        <w:pBdr>
          <w:top w:space="0" w:sz="0" w:val="nil"/>
          <w:left w:space="0" w:sz="0" w:val="nil"/>
          <w:bottom w:space="0" w:sz="0" w:val="nil"/>
          <w:right w:space="0" w:sz="0" w:val="nil"/>
          <w:between w:space="0" w:sz="0" w:val="nil"/>
        </w:pBdr>
        <w:spacing w:after="24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charged with an offence of fraudulent evasion. </w:t>
      </w:r>
    </w:p>
    <w:p w:rsidR="00000000" w:rsidDel="00000000" w:rsidP="00000000" w:rsidRDefault="00000000" w:rsidRPr="00000000" w14:paraId="0000007B">
      <w:pPr>
        <w:numPr>
          <w:ilvl w:val="1"/>
          <w:numId w:val="2"/>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7C">
      <w:pPr>
        <w:numPr>
          <w:ilvl w:val="1"/>
          <w:numId w:val="2"/>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7D">
      <w:pPr>
        <w:numPr>
          <w:ilvl w:val="1"/>
          <w:numId w:val="2"/>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(f) this condition is satisfied without any further steps being taken.</w:t>
      </w:r>
    </w:p>
    <w:p w:rsidR="00000000" w:rsidDel="00000000" w:rsidP="00000000" w:rsidRDefault="00000000" w:rsidRPr="00000000" w14:paraId="0000007E">
      <w:pPr>
        <w:numPr>
          <w:ilvl w:val="1"/>
          <w:numId w:val="2"/>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(g) the foreign equivalent to each of the corresponding steps set out above in (i) to (iii).</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80">
      <w:pPr>
        <w:pStyle w:val="Heading3"/>
        <w:keepNext w:val="0"/>
        <w:keepLines w:val="0"/>
        <w:spacing w:after="240" w:before="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81">
      <w:pPr>
        <w:spacing w:after="24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Form </w:t>
      </w:r>
    </w:p>
    <w:p w:rsidR="00000000" w:rsidDel="00000000" w:rsidP="00000000" w:rsidRDefault="00000000" w:rsidRPr="00000000" w14:paraId="00000083">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084">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w:t>
      </w:r>
      <w:r w:rsidDel="00000000" w:rsidR="00000000" w:rsidRPr="00000000">
        <w:rPr>
          <w:rFonts w:ascii="Arial" w:cs="Arial" w:eastAsia="Arial" w:hAnsi="Arial"/>
          <w:sz w:val="24"/>
          <w:szCs w:val="24"/>
          <w:highlight w:val="yellow"/>
          <w:rtl w:val="0"/>
        </w:rPr>
        <w:t xml:space="preserve">for Supplier to insert Contract reference number and contract date</w:t>
      </w:r>
      <w:r w:rsidDel="00000000" w:rsidR="00000000" w:rsidRPr="00000000">
        <w:rPr>
          <w:rFonts w:ascii="Arial" w:cs="Arial" w:eastAsia="Arial" w:hAnsi="Arial"/>
          <w:sz w:val="24"/>
          <w:szCs w:val="24"/>
          <w:rtl w:val="0"/>
        </w:rPr>
        <w:t xml:space="preserve">] ((‘the Agreement’)</w:t>
      </w:r>
    </w:p>
    <w:p w:rsidR="00000000" w:rsidDel="00000000" w:rsidP="00000000" w:rsidRDefault="00000000" w:rsidRPr="00000000" w14:paraId="00000085">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086">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087">
      <w:pPr>
        <w:numPr>
          <w:ilvl w:val="0"/>
          <w:numId w:val="8"/>
        </w:numPr>
        <w:pBdr>
          <w:top w:space="0" w:sz="0" w:val="nil"/>
          <w:left w:space="0" w:sz="0" w:val="nil"/>
          <w:bottom w:space="0" w:sz="0" w:val="nil"/>
          <w:right w:space="0" w:sz="0" w:val="nil"/>
          <w:between w:space="0" w:sz="0" w:val="nil"/>
        </w:pBdr>
        <w:spacing w:after="0" w:line="240" w:lineRule="auto"/>
        <w:ind w:left="426" w:hanging="42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p>
    <w:p w:rsidR="00000000" w:rsidDel="00000000" w:rsidP="00000000" w:rsidRDefault="00000000" w:rsidRPr="00000000" w14:paraId="00000088">
      <w:pPr>
        <w:numPr>
          <w:ilvl w:val="0"/>
          <w:numId w:val="8"/>
        </w:numPr>
        <w:pBdr>
          <w:top w:space="0" w:sz="0" w:val="nil"/>
          <w:left w:space="0" w:sz="0" w:val="nil"/>
          <w:bottom w:space="0" w:sz="0" w:val="nil"/>
          <w:right w:space="0" w:sz="0" w:val="nil"/>
          <w:between w:space="0" w:sz="0" w:val="nil"/>
        </w:pBdr>
        <w:spacing w:after="0" w:line="240" w:lineRule="auto"/>
        <w:ind w:left="426" w:hanging="42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understand and acknowledge that under Section 19 of the Commissioners for Revenue and Customs Act 2005 it may be a criminal offence to disclose any Government Data provided to me. </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240" w:line="240" w:lineRule="auto"/>
        <w:ind w:left="426" w:firstLine="0"/>
        <w:jc w:val="both"/>
        <w:rPr>
          <w:rFonts w:ascii="Arial" w:cs="Arial" w:eastAsia="Arial" w:hAnsi="Arial"/>
          <w:color w:val="000000"/>
          <w:sz w:val="24"/>
          <w:szCs w:val="24"/>
        </w:rPr>
      </w:pPr>
      <w:r w:rsidDel="00000000" w:rsidR="00000000" w:rsidRPr="00000000">
        <w:rPr>
          <w:rtl w:val="0"/>
        </w:rPr>
      </w:r>
    </w:p>
    <w:tbl>
      <w:tblPr>
        <w:tblStyle w:val="Table2"/>
        <w:tblW w:w="5670.0" w:type="dxa"/>
        <w:jc w:val="left"/>
        <w:tblInd w:w="3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rPr>
          <w:cantSplit w:val="0"/>
          <w:tblHeader w:val="0"/>
        </w:trPr>
        <w:tc>
          <w:tcPr/>
          <w:p w:rsidR="00000000" w:rsidDel="00000000" w:rsidP="00000000" w:rsidRDefault="00000000" w:rsidRPr="00000000" w14:paraId="0000008A">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rPr>
          <w:cantSplit w:val="0"/>
          <w:tblHeader w:val="0"/>
        </w:trPr>
        <w:tc>
          <w:tcPr/>
          <w:p w:rsidR="00000000" w:rsidDel="00000000" w:rsidP="00000000" w:rsidRDefault="00000000" w:rsidRPr="00000000" w14:paraId="0000008B">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rPr>
          <w:cantSplit w:val="0"/>
          <w:tblHeader w:val="0"/>
        </w:trPr>
        <w:tc>
          <w:tcPr/>
          <w:p w:rsidR="00000000" w:rsidDel="00000000" w:rsidP="00000000" w:rsidRDefault="00000000" w:rsidRPr="00000000" w14:paraId="0000008C">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rPr>
          <w:cantSplit w:val="0"/>
          <w:tblHeader w:val="0"/>
        </w:trPr>
        <w:tc>
          <w:tcPr/>
          <w:p w:rsidR="00000000" w:rsidDel="00000000" w:rsidP="00000000" w:rsidRDefault="00000000" w:rsidRPr="00000000" w14:paraId="0000008D">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rPr>
          <w:cantSplit w:val="0"/>
          <w:tblHeader w:val="0"/>
        </w:trPr>
        <w:tc>
          <w:tcPr/>
          <w:p w:rsidR="00000000" w:rsidDel="00000000" w:rsidP="00000000" w:rsidRDefault="00000000" w:rsidRPr="00000000" w14:paraId="0000008E">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OF SIGNITURE: </w:t>
            </w:r>
          </w:p>
        </w:tc>
      </w:tr>
    </w:tbl>
    <w:p w:rsidR="00000000" w:rsidDel="00000000" w:rsidP="00000000" w:rsidRDefault="00000000" w:rsidRPr="00000000" w14:paraId="0000008F">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spacing w:after="240" w:line="240" w:lineRule="auto"/>
        <w:jc w:val="right"/>
        <w:rPr/>
      </w:pPr>
      <w:r w:rsidDel="00000000" w:rsidR="00000000" w:rsidRPr="00000000">
        <w:rPr>
          <w:rtl w:val="0"/>
        </w:rPr>
      </w:r>
    </w:p>
    <w:sectPr>
      <w:headerReference r:id="rId8" w:type="default"/>
      <w:footerReference r:id="rId9"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0">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RM6342</w:t>
    </w:r>
  </w:p>
  <w:p w:rsidR="00000000" w:rsidDel="00000000" w:rsidP="00000000" w:rsidRDefault="00000000" w:rsidRPr="00000000" w14:paraId="000000A1">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p>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left"/>
      <w:rPr>
        <w:color w:val="000000"/>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r>
  </w:p>
  <w:p w:rsidR="00000000" w:rsidDel="00000000" w:rsidP="00000000" w:rsidRDefault="00000000" w:rsidRPr="00000000" w14:paraId="000000A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w:t>
      </w:r>
      <w:hyperlink r:id="rId1">
        <w:r w:rsidDel="00000000" w:rsidR="00000000" w:rsidRPr="00000000">
          <w:rPr>
            <w:color w:val="0000ff"/>
            <w:sz w:val="20"/>
            <w:szCs w:val="20"/>
            <w:u w:val="single"/>
            <w:rtl w:val="0"/>
          </w:rPr>
          <w:t xml:space="preserve">https://www.iasplus.com/en/standards/ifrs/ifrs10</w:t>
        </w:r>
      </w:hyperlink>
      <w:r w:rsidDel="00000000" w:rsidR="00000000" w:rsidRPr="00000000">
        <w:rPr>
          <w:color w:val="000000"/>
          <w:sz w:val="20"/>
          <w:szCs w:val="20"/>
          <w:rtl w:val="0"/>
        </w:rPr>
        <w:t xml:space="preserve"> </w:t>
      </w:r>
    </w:p>
  </w:footnote>
  <w:footnote w:id="1">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“General Anti-Abuse Rule” means (a) the legislation in Part 5 of the Finance Act 2013; and (b) any</w:t>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color w:val="000000"/>
          <w:sz w:val="20"/>
          <w:szCs w:val="20"/>
          <w:rtl w:val="0"/>
        </w:rPr>
        <w:t xml:space="preserve">future legislation introduced into Parliament to counteract tax advantages arising from abusive</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color w:val="000000"/>
          <w:sz w:val="20"/>
          <w:szCs w:val="20"/>
          <w:rtl w:val="0"/>
        </w:rPr>
        <w:t xml:space="preserve">arrangements to avoid national insurance contributions</w:t>
      </w:r>
    </w:p>
  </w:footnote>
  <w:footnote w:id="3">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“Halifax Abuse Principle” means the principle explained in the CJEU Case C-255/02 Halifax and others</w:t>
      </w:r>
    </w:p>
  </w:footnote>
  <w:footnote w:id="4">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Targeted list of tax avoidance schemes that HMRC believes are being used to avoid paying tax due and which are listed on the Spotlight website: </w:t>
      </w:r>
      <w:hyperlink r:id="rId2">
        <w:r w:rsidDel="00000000" w:rsidR="00000000" w:rsidRPr="00000000">
          <w:rPr>
            <w:color w:val="0000ff"/>
            <w:sz w:val="20"/>
            <w:szCs w:val="20"/>
            <w:u w:val="single"/>
            <w:rtl w:val="0"/>
          </w:rPr>
          <w:t xml:space="preserve">https://www.gov.uk/government/collections/tax-avoidance-schemes-currently-in-the-spotlight</w:t>
        </w:r>
      </w:hyperlink>
      <w:r w:rsidDel="00000000" w:rsidR="00000000" w:rsidRPr="00000000">
        <w:rPr>
          <w:color w:val="000000"/>
          <w:sz w:val="20"/>
          <w:szCs w:val="20"/>
          <w:rtl w:val="0"/>
        </w:rPr>
        <w:t xml:space="preserve">  </w:t>
      </w:r>
    </w:p>
  </w:footnote>
  <w:footnote w:id="7">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tabs>
        <w:tab w:val="center" w:leader="none" w:pos="4153"/>
        <w:tab w:val="right" w:leader="none" w:pos="8306"/>
      </w:tabs>
      <w:spacing w:after="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23 (HMRC Terms)</w:t>
    </w:r>
    <w:r w:rsidDel="00000000" w:rsidR="00000000" w:rsidRPr="00000000">
      <w:rPr>
        <w:rtl w:val="0"/>
      </w:rPr>
    </w:r>
  </w:p>
  <w:p w:rsidR="00000000" w:rsidDel="00000000" w:rsidP="00000000" w:rsidRDefault="00000000" w:rsidRPr="00000000" w14:paraId="0000009E">
    <w:pPr>
      <w:tabs>
        <w:tab w:val="center" w:leader="none" w:pos="4153"/>
        <w:tab w:val="right" w:leader="none" w:pos="830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9F">
    <w:pPr>
      <w:tabs>
        <w:tab w:val="center" w:leader="none" w:pos="4153"/>
        <w:tab w:val="right" w:leader="none" w:pos="8306"/>
      </w:tabs>
      <w:spacing w:after="0" w:line="240" w:lineRule="auto"/>
      <w:rPr/>
    </w:pPr>
    <w:r w:rsidDel="00000000" w:rsidR="00000000" w:rsidRPr="00000000">
      <w:rPr>
        <w:rFonts w:ascii="Arial" w:cs="Arial" w:eastAsia="Arial" w:hAnsi="Arial"/>
        <w:sz w:val="20"/>
        <w:szCs w:val="20"/>
        <w:rtl w:val="0"/>
      </w:rPr>
      <w:t xml:space="preserve">Crown Copyright 2023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0" w:firstLine="0"/>
      </w:pPr>
      <w:rPr/>
    </w:lvl>
    <w:lvl w:ilvl="1">
      <w:start w:val="1"/>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
    <w:lvl w:ilvl="0">
      <w:start w:val="1"/>
      <w:numFmt w:val="decimal"/>
      <w:lvlText w:val="%1."/>
      <w:lvlJc w:val="left"/>
      <w:pPr>
        <w:ind w:left="720" w:hanging="360"/>
      </w:pPr>
      <w:rPr/>
    </w:lvl>
    <w:lvl w:ilvl="1">
      <w:start w:val="1"/>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abstractNum w:abstractNumId="6">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4"/>
        <w:szCs w:val="24"/>
      </w:rPr>
    </w:lvl>
    <w:lvl w:ilvl="2">
      <w:start w:val="1"/>
      <w:numFmt w:val="decimal"/>
      <w:lvlText w:val="%1.%2.%3."/>
      <w:lvlJc w:val="left"/>
      <w:pPr>
        <w:ind w:left="1224" w:hanging="504"/>
      </w:pPr>
      <w:rPr>
        <w:rFonts w:ascii="Arial" w:cs="Arial" w:eastAsia="Arial" w:hAnsi="Arial"/>
        <w:color w:val="000000"/>
        <w:sz w:val="24"/>
        <w:szCs w:val="24"/>
      </w:rPr>
    </w:lvl>
    <w:lvl w:ilvl="3">
      <w:start w:val="1"/>
      <w:numFmt w:val="decimal"/>
      <w:lvlText w:val="%1.%2.%3.%4."/>
      <w:lvlJc w:val="left"/>
      <w:pPr>
        <w:ind w:left="1728" w:hanging="647"/>
      </w:pPr>
      <w:rPr>
        <w:color w:val="000000"/>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E034E"/>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
    <w:unhideWhenUsed w:val="1"/>
    <w:qFormat w:val="1"/>
    <w:rsid w:val="00F74A0D"/>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basedOn w:val="Normal"/>
    <w:next w:val="Normal"/>
    <w:link w:val="Heading3Char"/>
    <w:uiPriority w:val="9"/>
    <w:unhideWhenUsed w:val="1"/>
    <w:qFormat w:val="1"/>
    <w:rsid w:val="00F41BDE"/>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Body2" w:customStyle="1">
    <w:name w:val="Body2"/>
    <w:basedOn w:val="Normal"/>
    <w:uiPriority w:val="99"/>
    <w:rsid w:val="005D2DCE"/>
    <w:pPr>
      <w:spacing w:after="220" w:line="240" w:lineRule="auto"/>
      <w:ind w:left="709"/>
      <w:jc w:val="both"/>
    </w:pPr>
    <w:rPr>
      <w:rFonts w:ascii="Trebuchet MS" w:cs="Times New Roman" w:eastAsia="Times New Roman" w:hAnsi="Trebuchet MS"/>
      <w:sz w:val="20"/>
      <w:szCs w:val="20"/>
    </w:rPr>
  </w:style>
  <w:style w:type="table" w:styleId="TableGrid">
    <w:name w:val="Table Grid"/>
    <w:basedOn w:val="TableNormal"/>
    <w:uiPriority w:val="39"/>
    <w:rsid w:val="0016586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F8367D"/>
    <w:pPr>
      <w:ind w:left="720"/>
      <w:contextualSpacing w:val="1"/>
    </w:pPr>
  </w:style>
  <w:style w:type="paragraph" w:styleId="BodyText">
    <w:name w:val="Body Text"/>
    <w:basedOn w:val="Normal"/>
    <w:link w:val="BodyTextChar"/>
    <w:semiHidden w:val="1"/>
    <w:rsid w:val="008A5F11"/>
    <w:pPr>
      <w:spacing w:after="120" w:line="240" w:lineRule="auto"/>
    </w:pPr>
    <w:rPr>
      <w:rFonts w:ascii="Times New Roman" w:cs="Times New Roman" w:eastAsia="Times New Roman" w:hAnsi="Times New Roman"/>
      <w:sz w:val="24"/>
      <w:szCs w:val="24"/>
    </w:rPr>
  </w:style>
  <w:style w:type="character" w:styleId="BodyTextChar" w:customStyle="1">
    <w:name w:val="Body Text Char"/>
    <w:basedOn w:val="DefaultParagraphFont"/>
    <w:link w:val="BodyText"/>
    <w:semiHidden w:val="1"/>
    <w:rsid w:val="008A5F11"/>
    <w:rPr>
      <w:rFonts w:ascii="Times New Roman" w:cs="Times New Roman" w:eastAsia="Times New Roman" w:hAnsi="Times New Roman"/>
      <w:sz w:val="24"/>
      <w:szCs w:val="24"/>
      <w:lang w:eastAsia="en-GB"/>
    </w:rPr>
  </w:style>
  <w:style w:type="paragraph" w:styleId="Header">
    <w:name w:val="header"/>
    <w:basedOn w:val="Normal"/>
    <w:link w:val="HeaderChar"/>
    <w:uiPriority w:val="99"/>
    <w:unhideWhenUsed w:val="1"/>
    <w:rsid w:val="003533FD"/>
    <w:pPr>
      <w:tabs>
        <w:tab w:val="center" w:pos="4513"/>
        <w:tab w:val="right" w:pos="9026"/>
      </w:tabs>
      <w:spacing w:after="0" w:line="240" w:lineRule="auto"/>
    </w:pPr>
  </w:style>
  <w:style w:type="character" w:styleId="HeaderChar" w:customStyle="1">
    <w:name w:val="Header Char"/>
    <w:basedOn w:val="DefaultParagraphFont"/>
    <w:link w:val="Header"/>
    <w:uiPriority w:val="99"/>
    <w:rsid w:val="003533FD"/>
  </w:style>
  <w:style w:type="paragraph" w:styleId="Footer">
    <w:name w:val="footer"/>
    <w:basedOn w:val="Normal"/>
    <w:link w:val="FooterChar"/>
    <w:unhideWhenUsed w:val="1"/>
    <w:rsid w:val="003533FD"/>
    <w:pPr>
      <w:tabs>
        <w:tab w:val="center" w:pos="4513"/>
        <w:tab w:val="right" w:pos="9026"/>
      </w:tabs>
      <w:spacing w:after="0" w:line="240" w:lineRule="auto"/>
    </w:pPr>
  </w:style>
  <w:style w:type="character" w:styleId="FooterChar" w:customStyle="1">
    <w:name w:val="Footer Char"/>
    <w:basedOn w:val="DefaultParagraphFont"/>
    <w:link w:val="Footer"/>
    <w:rsid w:val="003533FD"/>
  </w:style>
  <w:style w:type="paragraph" w:styleId="BalloonText">
    <w:name w:val="Balloon Text"/>
    <w:basedOn w:val="Normal"/>
    <w:link w:val="BalloonTextChar"/>
    <w:uiPriority w:val="99"/>
    <w:semiHidden w:val="1"/>
    <w:unhideWhenUsed w:val="1"/>
    <w:rsid w:val="0076306D"/>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76306D"/>
    <w:rPr>
      <w:rFonts w:ascii="Segoe UI" w:cs="Segoe UI" w:hAnsi="Segoe UI"/>
      <w:sz w:val="18"/>
      <w:szCs w:val="18"/>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cstheme="majorBidi" w:eastAsiaTheme="majorEastAsia" w:hAnsiTheme="majorHAnsi"/>
      <w:color w:val="2e74b5" w:themeColor="accent1" w:themeShade="0000BF"/>
      <w:sz w:val="26"/>
      <w:szCs w:val="26"/>
    </w:rPr>
  </w:style>
  <w:style w:type="character" w:styleId="CommentReference">
    <w:name w:val="annotation reference"/>
    <w:basedOn w:val="DefaultParagraphFont"/>
    <w:uiPriority w:val="99"/>
    <w:semiHidden w:val="1"/>
    <w:unhideWhenUsed w:val="1"/>
    <w:rsid w:val="00CD5173"/>
    <w:rPr>
      <w:sz w:val="16"/>
      <w:szCs w:val="16"/>
    </w:rPr>
  </w:style>
  <w:style w:type="paragraph" w:styleId="CommentText">
    <w:name w:val="annotation text"/>
    <w:basedOn w:val="Normal"/>
    <w:link w:val="CommentTextChar"/>
    <w:uiPriority w:val="99"/>
    <w:unhideWhenUsed w:val="1"/>
    <w:rsid w:val="00CD5173"/>
    <w:pPr>
      <w:spacing w:line="240" w:lineRule="auto"/>
    </w:pPr>
    <w:rPr>
      <w:sz w:val="20"/>
      <w:szCs w:val="20"/>
    </w:rPr>
  </w:style>
  <w:style w:type="character" w:styleId="CommentTextChar" w:customStyle="1">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val="1"/>
    <w:unhideWhenUsed w:val="1"/>
    <w:rsid w:val="00CD5173"/>
    <w:rPr>
      <w:b w:val="1"/>
      <w:bCs w:val="1"/>
    </w:rPr>
  </w:style>
  <w:style w:type="character" w:styleId="CommentSubjectChar" w:customStyle="1">
    <w:name w:val="Comment Subject Char"/>
    <w:basedOn w:val="CommentTextChar"/>
    <w:link w:val="CommentSubject"/>
    <w:uiPriority w:val="99"/>
    <w:semiHidden w:val="1"/>
    <w:rsid w:val="00CD5173"/>
    <w:rPr>
      <w:b w:val="1"/>
      <w:bCs w:val="1"/>
      <w:sz w:val="20"/>
      <w:szCs w:val="20"/>
    </w:rPr>
  </w:style>
  <w:style w:type="paragraph" w:styleId="TableNormal1" w:customStyle="1">
    <w:name w:val="Table Normal1"/>
    <w:basedOn w:val="Normal"/>
    <w:rsid w:val="00555F2E"/>
    <w:pPr>
      <w:spacing w:after="120" w:before="120" w:line="240" w:lineRule="auto"/>
      <w:ind w:left="34"/>
    </w:pPr>
    <w:rPr>
      <w:rFonts w:ascii="Trebuchet MS" w:cs="Times New Roman" w:eastAsia="Trebuchet MS" w:hAnsi="Trebuchet MS"/>
    </w:rPr>
  </w:style>
  <w:style w:type="character" w:styleId="Hyperlink">
    <w:name w:val="Hyperlink"/>
    <w:basedOn w:val="DefaultParagraphFont"/>
    <w:uiPriority w:val="99"/>
    <w:unhideWhenUsed w:val="1"/>
    <w:rsid w:val="00C103F3"/>
    <w:rPr>
      <w:color w:val="0000ff"/>
      <w:u w:val="single"/>
    </w:rPr>
  </w:style>
  <w:style w:type="paragraph" w:styleId="Revision">
    <w:name w:val="Revision"/>
    <w:hidden w:val="1"/>
    <w:uiPriority w:val="99"/>
    <w:semiHidden w:val="1"/>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cs="Arial Unicode MS" w:eastAsia="Arial Unicode MS" w:hAnsi="Arial Unicode MS"/>
      <w:sz w:val="24"/>
      <w:szCs w:val="24"/>
    </w:rPr>
  </w:style>
  <w:style w:type="paragraph" w:styleId="FootnoteText">
    <w:name w:val="footnote text"/>
    <w:basedOn w:val="Normal"/>
    <w:link w:val="FootnoteTextChar"/>
    <w:uiPriority w:val="99"/>
    <w:unhideWhenUsed w:val="1"/>
    <w:rsid w:val="00601C72"/>
    <w:pPr>
      <w:spacing w:after="0" w:line="240" w:lineRule="auto"/>
    </w:pPr>
    <w:rPr>
      <w:rFonts w:cs="Times New Roman"/>
      <w:sz w:val="20"/>
      <w:szCs w:val="20"/>
    </w:rPr>
  </w:style>
  <w:style w:type="character" w:styleId="FootnoteTextChar" w:customStyle="1">
    <w:name w:val="Footnote Text Char"/>
    <w:basedOn w:val="DefaultParagraphFont"/>
    <w:link w:val="FootnoteText"/>
    <w:uiPriority w:val="99"/>
    <w:rsid w:val="00601C72"/>
    <w:rPr>
      <w:rFonts w:ascii="Calibri" w:cs="Times New Roman" w:eastAsia="Calibri" w:hAnsi="Calibri"/>
      <w:sz w:val="20"/>
      <w:szCs w:val="20"/>
    </w:rPr>
  </w:style>
  <w:style w:type="character" w:styleId="FootnoteReference">
    <w:name w:val="footnote reference"/>
    <w:uiPriority w:val="99"/>
    <w:unhideWhenUsed w:val="1"/>
    <w:rsid w:val="00601C72"/>
    <w:rPr>
      <w:vertAlign w:val="superscript"/>
    </w:rPr>
  </w:style>
  <w:style w:type="paragraph" w:styleId="paragraph" w:customStyle="1">
    <w:name w:val="paragraph"/>
    <w:basedOn w:val="Normal"/>
    <w:rsid w:val="00E07350"/>
    <w:pPr>
      <w:spacing w:after="0" w:line="240" w:lineRule="auto"/>
    </w:pPr>
    <w:rPr>
      <w:rFonts w:ascii="Times New Roman" w:cs="Times New Roman" w:eastAsia="Times New Roman" w:hAnsi="Times New Roman"/>
      <w:sz w:val="24"/>
      <w:szCs w:val="24"/>
    </w:rPr>
  </w:style>
  <w:style w:type="character" w:styleId="contextualspellingandgrammarerror" w:customStyle="1">
    <w:name w:val="contextualspellingandgrammarerror"/>
    <w:basedOn w:val="DefaultParagraphFont"/>
    <w:rsid w:val="00E07350"/>
  </w:style>
  <w:style w:type="character" w:styleId="normaltextrun1" w:customStyle="1">
    <w:name w:val="normaltextrun1"/>
    <w:basedOn w:val="DefaultParagraphFont"/>
    <w:rsid w:val="00E07350"/>
  </w:style>
  <w:style w:type="character" w:styleId="eop" w:customStyle="1">
    <w:name w:val="eop"/>
    <w:basedOn w:val="DefaultParagraphFont"/>
    <w:rsid w:val="00E07350"/>
  </w:style>
  <w:style w:type="character" w:styleId="findhit" w:customStyle="1">
    <w:name w:val="findhit"/>
    <w:basedOn w:val="DefaultParagraphFont"/>
    <w:rsid w:val="00CE122B"/>
    <w:rPr>
      <w:shd w:color="auto" w:fill="ffee80" w:val="clear"/>
    </w:rPr>
  </w:style>
  <w:style w:type="character" w:styleId="Heading3Char" w:customStyle="1">
    <w:name w:val="Heading 3 Char"/>
    <w:basedOn w:val="DefaultParagraphFont"/>
    <w:link w:val="Heading3"/>
    <w:uiPriority w:val="9"/>
    <w:rsid w:val="00F41BDE"/>
    <w:rPr>
      <w:rFonts w:asciiTheme="majorHAnsi" w:cstheme="majorBidi" w:eastAsiaTheme="majorEastAsia" w:hAnsiTheme="majorHAnsi"/>
      <w:color w:val="1f4d78" w:themeColor="accent1" w:themeShade="00007F"/>
      <w:sz w:val="24"/>
      <w:szCs w:val="24"/>
    </w:rPr>
  </w:style>
  <w:style w:type="character" w:styleId="normaltextrun" w:customStyle="1">
    <w:name w:val="normaltextrun"/>
    <w:basedOn w:val="DefaultParagraphFont"/>
    <w:rsid w:val="00F052EE"/>
  </w:style>
  <w:style w:type="paragraph" w:styleId="ScheduleL1" w:customStyle="1">
    <w:name w:val="Schedule L1"/>
    <w:basedOn w:val="Normal"/>
    <w:rsid w:val="004E2481"/>
    <w:pPr>
      <w:keepNext w:val="1"/>
      <w:numPr>
        <w:numId w:val="9"/>
      </w:numPr>
      <w:tabs>
        <w:tab w:val="clear" w:pos="720"/>
      </w:tabs>
      <w:adjustRightInd w:val="0"/>
      <w:spacing w:after="240" w:before="120" w:line="240" w:lineRule="auto"/>
      <w:ind w:left="357" w:hanging="357"/>
      <w:jc w:val="both"/>
      <w:outlineLvl w:val="0"/>
    </w:pPr>
    <w:rPr>
      <w:rFonts w:cs="Times New Roman" w:eastAsia="STZhongsong"/>
      <w:b w:val="1"/>
      <w:caps w:val="1"/>
      <w:szCs w:val="20"/>
      <w:lang w:eastAsia="zh-CN"/>
    </w:rPr>
  </w:style>
  <w:style w:type="paragraph" w:styleId="ScheduleL2" w:customStyle="1">
    <w:name w:val="Schedule L2"/>
    <w:basedOn w:val="Normal"/>
    <w:link w:val="ScheduleL2Char"/>
    <w:rsid w:val="004E2481"/>
    <w:pPr>
      <w:numPr>
        <w:ilvl w:val="1"/>
        <w:numId w:val="9"/>
      </w:numPr>
      <w:tabs>
        <w:tab w:val="left" w:pos="993"/>
      </w:tabs>
      <w:adjustRightInd w:val="0"/>
      <w:spacing w:after="120" w:before="120" w:line="240" w:lineRule="auto"/>
      <w:ind w:left="992" w:hanging="635"/>
      <w:jc w:val="both"/>
      <w:outlineLvl w:val="1"/>
    </w:pPr>
    <w:rPr>
      <w:rFonts w:cs="Times New Roman" w:eastAsia="STZhongsong"/>
      <w:szCs w:val="20"/>
      <w:lang w:eastAsia="zh-CN" w:val="en-US"/>
    </w:rPr>
  </w:style>
  <w:style w:type="character" w:styleId="ScheduleL2Char" w:customStyle="1">
    <w:name w:val="Schedule L2 Char"/>
    <w:link w:val="ScheduleL2"/>
    <w:rsid w:val="004E2481"/>
    <w:rPr>
      <w:rFonts w:ascii="Calibri" w:cs="Times New Roman" w:eastAsia="STZhongsong" w:hAnsi="Calibri"/>
      <w:szCs w:val="20"/>
      <w:lang w:eastAsia="zh-CN" w:val="en-US"/>
    </w:rPr>
  </w:style>
  <w:style w:type="paragraph" w:styleId="ScheduleL3" w:customStyle="1">
    <w:name w:val="Schedule L3"/>
    <w:basedOn w:val="Normal"/>
    <w:rsid w:val="004E2481"/>
    <w:pPr>
      <w:numPr>
        <w:ilvl w:val="2"/>
        <w:numId w:val="9"/>
      </w:numPr>
      <w:adjustRightInd w:val="0"/>
      <w:spacing w:after="120" w:before="120" w:line="240" w:lineRule="auto"/>
      <w:ind w:hanging="807"/>
      <w:jc w:val="both"/>
      <w:outlineLvl w:val="2"/>
    </w:pPr>
    <w:rPr>
      <w:rFonts w:cs="Times New Roman" w:eastAsia="STZhongsong"/>
      <w:szCs w:val="20"/>
      <w:lang w:eastAsia="zh-CN"/>
    </w:rPr>
  </w:style>
  <w:style w:type="paragraph" w:styleId="ScheduleL4" w:customStyle="1">
    <w:name w:val="Schedule L4"/>
    <w:basedOn w:val="Normal"/>
    <w:rsid w:val="004E2481"/>
    <w:pPr>
      <w:numPr>
        <w:ilvl w:val="3"/>
        <w:numId w:val="9"/>
      </w:numPr>
      <w:adjustRightInd w:val="0"/>
      <w:spacing w:after="120" w:before="120" w:line="240" w:lineRule="auto"/>
      <w:jc w:val="both"/>
      <w:outlineLvl w:val="3"/>
    </w:pPr>
    <w:rPr>
      <w:rFonts w:cs="Times New Roman" w:eastAsia="STZhongsong"/>
      <w:szCs w:val="20"/>
      <w:lang w:eastAsia="zh-CN"/>
    </w:rPr>
  </w:style>
  <w:style w:type="paragraph" w:styleId="ScheduleL5" w:customStyle="1">
    <w:name w:val="Schedule L5"/>
    <w:basedOn w:val="Normal"/>
    <w:rsid w:val="004E2481"/>
    <w:pPr>
      <w:numPr>
        <w:ilvl w:val="4"/>
        <w:numId w:val="9"/>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rsid w:val="004E2481"/>
    <w:pPr>
      <w:numPr>
        <w:ilvl w:val="5"/>
        <w:numId w:val="9"/>
      </w:numPr>
      <w:overflowPunct w:val="0"/>
      <w:autoSpaceDE w:val="0"/>
      <w:autoSpaceDN w:val="0"/>
      <w:adjustRightInd w:val="0"/>
      <w:spacing w:after="240" w:line="240" w:lineRule="auto"/>
      <w:jc w:val="both"/>
      <w:textAlignment w:val="baseline"/>
      <w:outlineLvl w:val="5"/>
    </w:pPr>
    <w:rPr>
      <w:rFonts w:ascii="Times New Roman" w:cs="Arial" w:eastAsia="STZhongsong" w:hAnsi="Times New Roman"/>
      <w:szCs w:val="20"/>
      <w:lang w:eastAsia="zh-CN"/>
    </w:rPr>
  </w:style>
  <w:style w:type="paragraph" w:styleId="ScheduleL7" w:customStyle="1">
    <w:name w:val="Schedule L7"/>
    <w:basedOn w:val="Normal"/>
    <w:rsid w:val="004E2481"/>
    <w:pPr>
      <w:numPr>
        <w:ilvl w:val="6"/>
        <w:numId w:val="9"/>
      </w:numPr>
      <w:overflowPunct w:val="0"/>
      <w:autoSpaceDE w:val="0"/>
      <w:autoSpaceDN w:val="0"/>
      <w:adjustRightInd w:val="0"/>
      <w:spacing w:after="240" w:line="240" w:lineRule="auto"/>
      <w:jc w:val="both"/>
      <w:textAlignment w:val="baseline"/>
      <w:outlineLvl w:val="6"/>
    </w:pPr>
    <w:rPr>
      <w:rFonts w:ascii="Times New Roman" w:cs="Arial" w:eastAsia="STZhongsong" w:hAnsi="Times New Roman"/>
      <w:szCs w:val="20"/>
      <w:lang w:eastAsia="zh-CN"/>
    </w:rPr>
  </w:style>
  <w:style w:type="paragraph" w:styleId="ScheduleL8" w:customStyle="1">
    <w:name w:val="Schedule L8"/>
    <w:basedOn w:val="Normal"/>
    <w:rsid w:val="004E2481"/>
    <w:pPr>
      <w:numPr>
        <w:ilvl w:val="7"/>
        <w:numId w:val="9"/>
      </w:numPr>
      <w:overflowPunct w:val="0"/>
      <w:autoSpaceDE w:val="0"/>
      <w:autoSpaceDN w:val="0"/>
      <w:adjustRightInd w:val="0"/>
      <w:spacing w:after="240" w:line="240" w:lineRule="auto"/>
      <w:jc w:val="both"/>
      <w:textAlignment w:val="baseline"/>
      <w:outlineLvl w:val="7"/>
    </w:pPr>
    <w:rPr>
      <w:rFonts w:ascii="Times New Roman" w:cs="Arial" w:eastAsia="STZhongsong" w:hAnsi="Times New Roman"/>
      <w:szCs w:val="20"/>
      <w:lang w:eastAsia="zh-CN"/>
    </w:rPr>
  </w:style>
  <w:style w:type="paragraph" w:styleId="ScheduleL9" w:customStyle="1">
    <w:name w:val="Schedule L9"/>
    <w:basedOn w:val="Normal"/>
    <w:rsid w:val="004E2481"/>
    <w:pPr>
      <w:numPr>
        <w:ilvl w:val="8"/>
        <w:numId w:val="9"/>
      </w:numPr>
      <w:overflowPunct w:val="0"/>
      <w:autoSpaceDE w:val="0"/>
      <w:autoSpaceDN w:val="0"/>
      <w:adjustRightInd w:val="0"/>
      <w:spacing w:after="240" w:line="240" w:lineRule="auto"/>
      <w:jc w:val="both"/>
      <w:textAlignment w:val="baseline"/>
      <w:outlineLvl w:val="8"/>
    </w:pPr>
    <w:rPr>
      <w:rFonts w:ascii="Times New Roman" w:cs="Arial" w:eastAsia="STZhongsong" w:hAnsi="Times New Roman"/>
      <w:szCs w:val="20"/>
      <w:lang w:eastAsia="zh-CN"/>
    </w:rPr>
  </w:style>
  <w:style w:type="character" w:styleId="Heading1Char" w:customStyle="1">
    <w:name w:val="Heading 1 Char"/>
    <w:basedOn w:val="DefaultParagraphFont"/>
    <w:link w:val="Heading1"/>
    <w:uiPriority w:val="9"/>
    <w:rsid w:val="005E034E"/>
    <w:rPr>
      <w:rFonts w:asciiTheme="majorHAnsi" w:cstheme="majorBidi" w:eastAsiaTheme="majorEastAsia" w:hAnsiTheme="majorHAnsi"/>
      <w:color w:val="2e74b5" w:themeColor="accent1" w:themeShade="0000BF"/>
      <w:sz w:val="32"/>
      <w:szCs w:val="32"/>
    </w:rPr>
  </w:style>
  <w:style w:type="character" w:styleId="UnresolvedMention1" w:customStyle="1">
    <w:name w:val="Unresolved Mention1"/>
    <w:basedOn w:val="DefaultParagraphFont"/>
    <w:uiPriority w:val="99"/>
    <w:semiHidden w:val="1"/>
    <w:unhideWhenUsed w:val="1"/>
    <w:rsid w:val="002F5D65"/>
    <w:rPr>
      <w:color w:val="605e5c"/>
      <w:shd w:color="auto" w:fill="e1dfdd" w:val="clear"/>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spacing w:after="0" w:line="240" w:lineRule="auto"/>
    </w:p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Ywam8J6MRicpPHU1wnPUG8UaXw==">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gAciExc19qZ3JpLTJoR0JnN3AtWmNkYXVuaC1Ka29oU3FoRG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2023-11-20T10:37:00Z</dcterms:created>
  <dc:creator>Nightingale, Maksuda (Sols)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